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line="560" w:lineRule="exact"/>
        <w:ind w:left="0" w:leftChars="0" w:firstLine="0" w:firstLineChars="0"/>
        <w:jc w:val="both"/>
        <w:rPr>
          <w:rFonts w:hint="eastAsia" w:ascii="楷体" w:hAnsi="楷体" w:eastAsia="楷体" w:cs="楷体"/>
          <w:sz w:val="28"/>
          <w:szCs w:val="28"/>
          <w:lang w:val="en-US" w:eastAsia="zh-CN"/>
        </w:rPr>
      </w:pPr>
      <w:r>
        <w:rPr>
          <w:rFonts w:hint="eastAsia" w:ascii="楷体" w:hAnsi="楷体" w:eastAsia="楷体" w:cs="楷体"/>
          <w:sz w:val="28"/>
          <w:szCs w:val="28"/>
          <w:lang w:eastAsia="zh-CN"/>
        </w:rPr>
        <w:t>内部资料·免费交流</w:t>
      </w:r>
    </w:p>
    <w:p>
      <w:pPr>
        <w:pageBreakBefore w:val="0"/>
        <w:kinsoku/>
        <w:wordWrap/>
        <w:overflowPunct/>
        <w:topLinePunct w:val="0"/>
        <w:autoSpaceDE/>
        <w:autoSpaceDN/>
        <w:bidi w:val="0"/>
        <w:adjustRightInd/>
        <w:snapToGrid/>
        <w:spacing w:line="560" w:lineRule="exact"/>
        <w:rPr>
          <w:rFonts w:hint="default" w:ascii="Times New Roman" w:hAnsi="Times New Roman" w:cs="Times New Roman"/>
        </w:rPr>
      </w:pPr>
    </w:p>
    <w:p>
      <w:pPr>
        <w:pageBreakBefore w:val="0"/>
        <w:kinsoku/>
        <w:wordWrap/>
        <w:overflowPunct/>
        <w:topLinePunct w:val="0"/>
        <w:autoSpaceDE/>
        <w:autoSpaceDN/>
        <w:bidi w:val="0"/>
        <w:adjustRightInd/>
        <w:snapToGrid/>
        <w:spacing w:line="560" w:lineRule="exact"/>
        <w:ind w:firstLine="0" w:firstLineChars="0"/>
        <w:jc w:val="center"/>
        <w:rPr>
          <w:rFonts w:hint="default" w:ascii="仿宋_GB2312" w:hAnsi="仿宋_GB2312" w:eastAsia="仿宋_GB2312" w:cs="仿宋_GB2312"/>
          <w:b w:val="0"/>
          <w:bCs w:val="0"/>
          <w:sz w:val="32"/>
          <w:szCs w:val="32"/>
          <w:lang w:eastAsia="zh-CN"/>
        </w:rPr>
      </w:pPr>
      <w:r>
        <w:rPr>
          <w:rFonts w:hint="default" w:ascii="仿宋_GB2312" w:hAnsi="仿宋_GB2312" w:eastAsia="仿宋_GB2312" w:cs="仿宋_GB2312"/>
          <w:b w:val="0"/>
          <w:bCs w:val="0"/>
          <w:sz w:val="32"/>
          <w:szCs w:val="32"/>
          <w:lang w:eastAsia="zh-CN"/>
        </w:rPr>
        <w:drawing>
          <wp:anchor distT="0" distB="0" distL="114300" distR="114300" simplePos="0" relativeHeight="251659264" behindDoc="1" locked="0" layoutInCell="1" allowOverlap="1">
            <wp:simplePos x="0" y="0"/>
            <wp:positionH relativeFrom="column">
              <wp:posOffset>-9525</wp:posOffset>
            </wp:positionH>
            <wp:positionV relativeFrom="paragraph">
              <wp:posOffset>150495</wp:posOffset>
            </wp:positionV>
            <wp:extent cx="5334000" cy="962025"/>
            <wp:effectExtent l="0" t="0" r="0" b="9525"/>
            <wp:wrapTight wrapText="bothSides">
              <wp:wrapPolygon>
                <wp:start x="0" y="0"/>
                <wp:lineTo x="0" y="21386"/>
                <wp:lineTo x="21523" y="21386"/>
                <wp:lineTo x="21523" y="0"/>
                <wp:lineTo x="0" y="0"/>
              </wp:wrapPolygon>
            </wp:wrapTight>
            <wp:docPr id="2"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true"/>
                    </pic:cNvPicPr>
                  </pic:nvPicPr>
                  <pic:blipFill>
                    <a:blip r:embed="rId13"/>
                    <a:stretch>
                      <a:fillRect/>
                    </a:stretch>
                  </pic:blipFill>
                  <pic:spPr>
                    <a:xfrm>
                      <a:off x="0" y="0"/>
                      <a:ext cx="5334000" cy="962025"/>
                    </a:xfrm>
                    <a:prstGeom prst="rect">
                      <a:avLst/>
                    </a:prstGeom>
                    <a:noFill/>
                    <a:ln>
                      <a:noFill/>
                    </a:ln>
                  </pic:spPr>
                </pic:pic>
              </a:graphicData>
            </a:graphic>
          </wp:anchor>
        </w:drawing>
      </w:r>
    </w:p>
    <w:p>
      <w:pPr>
        <w:pageBreakBefore w:val="0"/>
        <w:kinsoku/>
        <w:wordWrap/>
        <w:overflowPunct/>
        <w:topLinePunct w:val="0"/>
        <w:autoSpaceDE/>
        <w:autoSpaceDN/>
        <w:bidi w:val="0"/>
        <w:adjustRightInd/>
        <w:snapToGrid/>
        <w:spacing w:line="560" w:lineRule="exact"/>
        <w:ind w:firstLine="0" w:firstLineChars="0"/>
        <w:jc w:val="center"/>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44"/>
          <w:szCs w:val="44"/>
          <w:lang w:val="en-US" w:eastAsia="zh-CN"/>
        </w:rPr>
        <w:t xml:space="preserve"> </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年第</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期</w:t>
      </w:r>
      <w:r>
        <w:rPr>
          <w:rFonts w:hint="eastAsia" w:ascii="仿宋_GB2312" w:hAnsi="仿宋_GB2312" w:eastAsia="仿宋_GB2312" w:cs="仿宋_GB2312"/>
          <w:b w:val="0"/>
          <w:bCs w:val="0"/>
          <w:sz w:val="32"/>
          <w:szCs w:val="32"/>
          <w:lang w:eastAsia="zh-CN"/>
        </w:rPr>
        <w:t>（总第</w:t>
      </w:r>
      <w:r>
        <w:rPr>
          <w:rFonts w:hint="eastAsia" w:ascii="仿宋_GB2312" w:hAnsi="仿宋_GB2312" w:eastAsia="仿宋_GB2312" w:cs="仿宋_GB2312"/>
          <w:b w:val="0"/>
          <w:bCs w:val="0"/>
          <w:sz w:val="32"/>
          <w:szCs w:val="32"/>
          <w:lang w:val="en-US" w:eastAsia="zh-CN"/>
        </w:rPr>
        <w:t>62</w:t>
      </w:r>
      <w:bookmarkStart w:id="4" w:name="_GoBack"/>
      <w:bookmarkEnd w:id="4"/>
      <w:r>
        <w:rPr>
          <w:rFonts w:hint="eastAsia" w:ascii="仿宋_GB2312" w:hAnsi="仿宋_GB2312" w:eastAsia="仿宋_GB2312" w:cs="仿宋_GB2312"/>
          <w:b w:val="0"/>
          <w:bCs w:val="0"/>
          <w:sz w:val="32"/>
          <w:szCs w:val="32"/>
          <w:lang w:val="en-US" w:eastAsia="zh-CN"/>
        </w:rPr>
        <w:t>期</w:t>
      </w:r>
      <w:r>
        <w:rPr>
          <w:rFonts w:hint="eastAsia" w:ascii="仿宋_GB2312" w:hAnsi="仿宋_GB2312" w:eastAsia="仿宋_GB2312" w:cs="仿宋_GB2312"/>
          <w:b w:val="0"/>
          <w:bCs w:val="0"/>
          <w:sz w:val="32"/>
          <w:szCs w:val="32"/>
          <w:lang w:eastAsia="zh-CN"/>
        </w:rPr>
        <w:t>）</w:t>
      </w:r>
    </w:p>
    <w:p>
      <w:pPr>
        <w:pageBreakBefore w:val="0"/>
        <w:kinsoku/>
        <w:wordWrap/>
        <w:overflowPunct/>
        <w:topLinePunct w:val="0"/>
        <w:autoSpaceDE/>
        <w:autoSpaceDN/>
        <w:bidi w:val="0"/>
        <w:adjustRightInd/>
        <w:snapToGrid/>
        <w:spacing w:line="560" w:lineRule="exact"/>
        <w:ind w:firstLine="481" w:firstLineChars="150"/>
        <w:rPr>
          <w:rFonts w:hint="eastAsia" w:ascii="仿宋_GB2312" w:hAnsi="仿宋_GB2312" w:eastAsia="仿宋_GB2312" w:cs="仿宋_GB2312"/>
          <w:b/>
          <w:bCs w:val="0"/>
          <w:sz w:val="32"/>
          <w:szCs w:val="32"/>
        </w:rPr>
      </w:pPr>
    </w:p>
    <w:p>
      <w:pPr>
        <w:pageBreakBefore w:val="0"/>
        <w:kinsoku/>
        <w:wordWrap/>
        <w:overflowPunct/>
        <w:topLinePunct w:val="0"/>
        <w:autoSpaceDE/>
        <w:autoSpaceDN/>
        <w:bidi w:val="0"/>
        <w:adjustRightInd/>
        <w:snapToGrid/>
        <w:spacing w:line="560" w:lineRule="exact"/>
        <w:ind w:firstLine="481" w:firstLineChars="15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主办:周口市科学技术局</w:t>
      </w:r>
    </w:p>
    <w:p>
      <w:pPr>
        <w:pageBreakBefore w:val="0"/>
        <w:kinsoku/>
        <w:wordWrap/>
        <w:overflowPunct/>
        <w:topLinePunct w:val="0"/>
        <w:autoSpaceDE/>
        <w:autoSpaceDN/>
        <w:bidi w:val="0"/>
        <w:adjustRightInd/>
        <w:snapToGrid/>
        <w:spacing w:line="560" w:lineRule="exact"/>
        <w:ind w:firstLine="481" w:firstLineChars="15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承办:周口市科技情报研究</w:t>
      </w:r>
      <w:r>
        <w:rPr>
          <w:rFonts w:hint="eastAsia" w:ascii="仿宋_GB2312" w:hAnsi="仿宋_GB2312" w:eastAsia="仿宋_GB2312" w:cs="仿宋_GB2312"/>
          <w:b/>
          <w:bCs w:val="0"/>
          <w:sz w:val="32"/>
          <w:szCs w:val="32"/>
          <w:lang w:eastAsia="zh-CN"/>
        </w:rPr>
        <w:t>中心</w:t>
      </w:r>
      <w:r>
        <w:rPr>
          <w:rFonts w:hint="eastAsia" w:ascii="仿宋_GB2312" w:hAnsi="仿宋_GB2312" w:eastAsia="仿宋_GB2312" w:cs="仿宋_GB2312"/>
          <w:b/>
          <w:bCs w:val="0"/>
          <w:sz w:val="32"/>
          <w:szCs w:val="32"/>
        </w:rPr>
        <w:t xml:space="preserve">     202</w:t>
      </w:r>
      <w:r>
        <w:rPr>
          <w:rFonts w:hint="eastAsia" w:ascii="仿宋_GB2312" w:hAnsi="仿宋_GB2312" w:eastAsia="仿宋_GB2312" w:cs="仿宋_GB2312"/>
          <w:b/>
          <w:bCs w:val="0"/>
          <w:sz w:val="32"/>
          <w:szCs w:val="32"/>
          <w:lang w:val="en-US" w:eastAsia="zh-CN"/>
        </w:rPr>
        <w:t>5</w:t>
      </w:r>
      <w:r>
        <w:rPr>
          <w:rFonts w:hint="eastAsia" w:ascii="仿宋_GB2312" w:hAnsi="仿宋_GB2312" w:eastAsia="仿宋_GB2312" w:cs="仿宋_GB2312"/>
          <w:b/>
          <w:bCs w:val="0"/>
          <w:sz w:val="32"/>
          <w:szCs w:val="32"/>
        </w:rPr>
        <w:t>年</w:t>
      </w:r>
      <w:r>
        <w:rPr>
          <w:rFonts w:hint="eastAsia" w:ascii="仿宋_GB2312" w:hAnsi="仿宋_GB2312" w:eastAsia="仿宋_GB2312" w:cs="仿宋_GB2312"/>
          <w:b/>
          <w:bCs w:val="0"/>
          <w:sz w:val="32"/>
          <w:szCs w:val="32"/>
          <w:lang w:val="en-US" w:eastAsia="zh-CN"/>
        </w:rPr>
        <w:t>10</w:t>
      </w:r>
      <w:r>
        <w:rPr>
          <w:rFonts w:hint="eastAsia" w:ascii="仿宋_GB2312" w:hAnsi="仿宋_GB2312" w:eastAsia="仿宋_GB2312" w:cs="仿宋_GB2312"/>
          <w:b/>
          <w:bCs w:val="0"/>
          <w:sz w:val="32"/>
          <w:szCs w:val="32"/>
        </w:rPr>
        <w:t>月</w:t>
      </w:r>
      <w:r>
        <w:rPr>
          <w:rFonts w:hint="eastAsia" w:ascii="仿宋_GB2312" w:hAnsi="仿宋_GB2312" w:eastAsia="仿宋_GB2312" w:cs="仿宋_GB2312"/>
          <w:b/>
          <w:bCs w:val="0"/>
          <w:sz w:val="32"/>
          <w:szCs w:val="32"/>
          <w:lang w:val="en-US" w:eastAsia="zh-CN"/>
        </w:rPr>
        <w:t>27</w:t>
      </w:r>
      <w:r>
        <w:rPr>
          <w:rFonts w:hint="eastAsia" w:ascii="仿宋_GB2312" w:hAnsi="仿宋_GB2312" w:eastAsia="仿宋_GB2312" w:cs="仿宋_GB2312"/>
          <w:b/>
          <w:bCs w:val="0"/>
          <w:sz w:val="32"/>
          <w:szCs w:val="32"/>
        </w:rPr>
        <w:t>日</w:t>
      </w:r>
    </w:p>
    <w:p>
      <w:pPr>
        <w:pageBreakBefore w:val="0"/>
        <w:kinsoku/>
        <w:wordWrap/>
        <w:overflowPunct/>
        <w:topLinePunct w:val="0"/>
        <w:autoSpaceDE/>
        <w:autoSpaceDN/>
        <w:bidi w:val="0"/>
        <w:adjustRightInd/>
        <w:snapToGrid/>
        <w:spacing w:line="560" w:lineRule="exact"/>
        <w:jc w:val="both"/>
        <w:rPr>
          <w:rFonts w:hint="default" w:ascii="Times New Roman" w:hAnsi="Times New Roman" w:eastAsia="方正小标宋简体" w:cs="Times New Roman"/>
          <w:b/>
          <w:bCs/>
          <w:sz w:val="32"/>
          <w:szCs w:val="32"/>
          <w:lang w:val="zh-CN"/>
        </w:rPr>
      </w:pPr>
      <w:r>
        <w:rPr>
          <w:rFonts w:hint="default" w:ascii="Times New Roman" w:hAnsi="Times New Roman" w:cs="Times New Roman"/>
        </w:rPr>
        <w:drawing>
          <wp:anchor distT="0" distB="0" distL="114300" distR="114300" simplePos="0" relativeHeight="251660288" behindDoc="1" locked="0" layoutInCell="1" allowOverlap="1">
            <wp:simplePos x="0" y="0"/>
            <wp:positionH relativeFrom="column">
              <wp:posOffset>63500</wp:posOffset>
            </wp:positionH>
            <wp:positionV relativeFrom="paragraph">
              <wp:posOffset>116840</wp:posOffset>
            </wp:positionV>
            <wp:extent cx="5210175" cy="132080"/>
            <wp:effectExtent l="0" t="0" r="9525" b="1270"/>
            <wp:wrapTight wrapText="bothSides">
              <wp:wrapPolygon>
                <wp:start x="0" y="0"/>
                <wp:lineTo x="0" y="18692"/>
                <wp:lineTo x="21561" y="18692"/>
                <wp:lineTo x="21561" y="0"/>
                <wp:lineTo x="0" y="0"/>
              </wp:wrapPolygon>
            </wp:wrapTight>
            <wp:docPr id="3"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true"/>
                    </pic:cNvPicPr>
                  </pic:nvPicPr>
                  <pic:blipFill>
                    <a:blip r:embed="rId14"/>
                    <a:stretch>
                      <a:fillRect/>
                    </a:stretch>
                  </pic:blipFill>
                  <pic:spPr>
                    <a:xfrm>
                      <a:off x="0" y="0"/>
                      <a:ext cx="5210175" cy="132080"/>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小标宋简体" w:hAnsi="方正小标宋简体" w:eastAsia="方正小标宋简体" w:cs="方正小标宋简体"/>
          <w:b/>
          <w:bCs/>
          <w:sz w:val="44"/>
          <w:szCs w:val="44"/>
          <w:lang w:val="en-US" w:eastAsia="zh-CN"/>
        </w:rPr>
      </w:pPr>
      <w:r>
        <w:rPr>
          <w:rFonts w:hint="eastAsia" w:ascii="仿宋_GB2312" w:hAnsi="仿宋_GB2312" w:eastAsia="仿宋_GB2312" w:cs="仿宋_GB2312"/>
          <w:b w:val="0"/>
          <w:bCs w:val="0"/>
          <w:sz w:val="32"/>
          <w:szCs w:val="32"/>
          <w:lang w:val="en-US" w:eastAsia="zh-CN"/>
        </w:rPr>
        <w:t>按照中共中央以科技创新引领现代化产业体系建设的决策部署，进一步全面深化改革、推进中国式现代化建设周口实践，加快实施“十大战略”三年行动计划，推动创新链产业链资金链人才链深度融合，加强我市核心技术攻关，促进传统产业转型升级，以科技创新开辟发展新领域新赛道、塑造发展新动能新优势，赋能全市经济社会高质量发展。我们通过检索搜集国内政府官网发布的最新科技创新政策，整理出国内科技新政策动态和要点，为修订完善有关科技创新政策提供参考借鉴；通过信息遴选、数据资料搜集对权威科研信息进行动态跟踪，收集前沿技术信息，为培育和发展新质生产力提供情报参考。（栏目分为：科技新闻、科技创新政策、产业科技前沿、科普知识）</w:t>
      </w:r>
    </w:p>
    <w:p>
      <w:pPr>
        <w:pageBreakBefore w:val="0"/>
        <w:kinsoku/>
        <w:wordWrap/>
        <w:overflowPunct/>
        <w:topLinePunct w:val="0"/>
        <w:autoSpaceDE/>
        <w:autoSpaceDN/>
        <w:bidi w:val="0"/>
        <w:adjustRightInd/>
        <w:snapToGrid/>
        <w:spacing w:line="560" w:lineRule="exact"/>
        <w:ind w:left="0" w:leftChars="0" w:firstLine="0" w:firstLineChars="0"/>
        <w:jc w:val="center"/>
        <w:rPr>
          <w:rFonts w:hint="eastAsia" w:ascii="方正小标宋简体" w:hAnsi="方正小标宋简体" w:eastAsia="方正小标宋简体" w:cs="方正小标宋简体"/>
          <w:b w:val="0"/>
          <w:bCs w:val="0"/>
          <w:sz w:val="44"/>
          <w:szCs w:val="44"/>
          <w:lang w:val="en-US" w:eastAsia="zh-CN"/>
        </w:rPr>
      </w:pPr>
    </w:p>
    <w:p>
      <w:pPr>
        <w:pageBreakBefore w:val="0"/>
        <w:kinsoku/>
        <w:wordWrap/>
        <w:overflowPunct/>
        <w:topLinePunct w:val="0"/>
        <w:autoSpaceDE/>
        <w:autoSpaceDN/>
        <w:bidi w:val="0"/>
        <w:adjustRightInd/>
        <w:snapToGrid/>
        <w:spacing w:line="560" w:lineRule="exact"/>
        <w:ind w:left="0" w:leftChars="0" w:firstLine="0" w:firstLineChars="0"/>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本 期 导 读</w:t>
      </w:r>
    </w:p>
    <w:p>
      <w:pPr>
        <w:pageBreakBefore w:val="0"/>
        <w:kinsoku/>
        <w:wordWrap/>
        <w:overflowPunct/>
        <w:topLinePunct w:val="0"/>
        <w:autoSpaceDE/>
        <w:autoSpaceDN/>
        <w:bidi w:val="0"/>
        <w:adjustRightInd/>
        <w:snapToGrid/>
        <w:spacing w:line="560" w:lineRule="exact"/>
        <w:jc w:val="center"/>
        <w:rPr>
          <w:rFonts w:hint="default" w:ascii="Times New Roman" w:hAnsi="Times New Roman" w:eastAsia="方正小标宋简体" w:cs="Times New Roman"/>
          <w:b/>
          <w:bCs/>
          <w:sz w:val="32"/>
          <w:szCs w:val="32"/>
          <w:lang w:val="zh-CN"/>
        </w:rPr>
      </w:pPr>
    </w:p>
    <w:p>
      <w:pPr>
        <w:pageBreakBefore w:val="0"/>
        <w:kinsoku/>
        <w:wordWrap/>
        <w:overflowPunct/>
        <w:topLinePunct w:val="0"/>
        <w:autoSpaceDE/>
        <w:autoSpaceDN/>
        <w:bidi w:val="0"/>
        <w:adjustRightInd/>
        <w:snapToGrid/>
        <w:spacing w:line="560" w:lineRule="exact"/>
        <w:ind w:left="0" w:leftChars="0" w:firstLine="0" w:firstLineChars="0"/>
        <w:jc w:val="center"/>
        <w:rPr>
          <w:rFonts w:hint="eastAsia" w:ascii="黑体" w:hAnsi="黑体" w:eastAsia="黑体" w:cs="黑体"/>
          <w:lang w:eastAsia="zh-CN"/>
        </w:rPr>
      </w:pPr>
      <w:r>
        <w:rPr>
          <w:rFonts w:hint="default" w:ascii="Times New Roman" w:hAnsi="Times New Roman" w:eastAsia="方正小标宋简体" w:cs="Times New Roman"/>
          <w:b w:val="0"/>
          <w:bCs w:val="0"/>
          <w:sz w:val="32"/>
          <w:szCs w:val="32"/>
          <w:lang w:val="zh-CN"/>
        </w:rPr>
        <w:t>目  录</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640" w:lineRule="exact"/>
        <w:textAlignment w:val="auto"/>
        <w:rPr>
          <w:rFonts w:hint="eastAsia" w:ascii="黑体" w:hAnsi="黑体" w:eastAsia="黑体" w:cs="黑体"/>
          <w:color w:val="auto"/>
          <w:sz w:val="36"/>
          <w:szCs w:val="36"/>
          <w:lang w:val="en-US" w:eastAsia="zh-CN"/>
        </w:rPr>
      </w:pPr>
    </w:p>
    <w:p>
      <w:pPr>
        <w:pStyle w:val="15"/>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00" w:lineRule="exact"/>
        <w:ind w:firstLine="592" w:firstLineChars="200"/>
        <w:jc w:val="both"/>
        <w:textAlignment w:val="auto"/>
        <w:rPr>
          <w:rFonts w:hint="eastAsia" w:ascii="黑体" w:hAnsi="黑体" w:eastAsia="黑体" w:cs="黑体"/>
          <w:color w:val="auto"/>
          <w:spacing w:val="8"/>
          <w:kern w:val="0"/>
          <w:sz w:val="28"/>
          <w:szCs w:val="28"/>
          <w:lang w:val="en-US" w:eastAsia="zh-CN" w:bidi="ar-SA"/>
        </w:rPr>
      </w:pPr>
      <w:r>
        <w:rPr>
          <w:rFonts w:hint="eastAsia" w:ascii="黑体" w:hAnsi="黑体" w:eastAsia="黑体" w:cs="黑体"/>
          <w:color w:val="auto"/>
          <w:spacing w:val="8"/>
          <w:kern w:val="0"/>
          <w:sz w:val="28"/>
          <w:szCs w:val="28"/>
          <w:lang w:val="en-US" w:eastAsia="zh-CN" w:bidi="ar-SA"/>
        </w:rPr>
        <w:t>科技新闻</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92" w:firstLineChars="200"/>
        <w:jc w:val="both"/>
        <w:textAlignment w:val="auto"/>
        <w:rPr>
          <w:rFonts w:hint="eastAsia" w:ascii="黑体" w:hAnsi="黑体" w:eastAsia="黑体" w:cs="黑体"/>
          <w:color w:val="auto"/>
          <w:spacing w:val="8"/>
          <w:kern w:val="0"/>
          <w:sz w:val="28"/>
          <w:szCs w:val="28"/>
          <w:lang w:val="en-US" w:eastAsia="zh-CN" w:bidi="ar-SA"/>
        </w:rPr>
      </w:pPr>
      <w:r>
        <w:rPr>
          <w:rFonts w:hint="eastAsia" w:ascii="黑体" w:hAnsi="黑体" w:eastAsia="黑体" w:cs="黑体"/>
          <w:color w:val="auto"/>
          <w:spacing w:val="8"/>
          <w:kern w:val="0"/>
          <w:sz w:val="28"/>
          <w:szCs w:val="28"/>
          <w:lang w:val="en-US" w:eastAsia="zh-CN" w:bidi="ar-SA"/>
        </w:rPr>
        <w:t>（一）国内科技新闻快讯</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pacing w:val="15"/>
          <w:sz w:val="28"/>
          <w:szCs w:val="28"/>
        </w:rPr>
      </w:pPr>
      <w:r>
        <w:rPr>
          <w:rFonts w:hint="eastAsia" w:ascii="仿宋_GB2312" w:hAnsi="仿宋_GB2312" w:eastAsia="仿宋_GB2312" w:cs="仿宋_GB2312"/>
          <w:color w:val="auto"/>
          <w:sz w:val="28"/>
          <w:szCs w:val="28"/>
        </w:rPr>
        <w:t>1.</w:t>
      </w:r>
      <w:r>
        <w:rPr>
          <w:rFonts w:hint="eastAsia" w:ascii="仿宋_GB2312" w:hAnsi="仿宋_GB2312" w:eastAsia="仿宋_GB2312" w:cs="仿宋_GB2312"/>
          <w:color w:val="auto"/>
          <w:spacing w:val="15"/>
          <w:sz w:val="28"/>
          <w:szCs w:val="28"/>
        </w:rPr>
        <w:t xml:space="preserve"> </w:t>
      </w:r>
      <w:r>
        <w:rPr>
          <w:rFonts w:hint="eastAsia" w:ascii="仿宋_GB2312" w:hAnsi="仿宋_GB2312" w:eastAsia="仿宋_GB2312" w:cs="仿宋_GB2312"/>
          <w:color w:val="auto"/>
          <w:spacing w:val="15"/>
          <w:sz w:val="28"/>
          <w:szCs w:val="28"/>
          <w:lang w:eastAsia="zh-CN"/>
        </w:rPr>
        <w:t>“</w:t>
      </w:r>
      <w:r>
        <w:rPr>
          <w:rFonts w:hint="eastAsia" w:ascii="仿宋_GB2312" w:hAnsi="仿宋_GB2312" w:eastAsia="仿宋_GB2312" w:cs="仿宋_GB2312"/>
          <w:b w:val="0"/>
          <w:bCs w:val="0"/>
          <w:color w:val="auto"/>
          <w:sz w:val="28"/>
          <w:szCs w:val="28"/>
          <w:shd w:val="clear" w:color="auto" w:fill="FFFFFF"/>
        </w:rPr>
        <w:t>科技</w:t>
      </w:r>
      <w:r>
        <w:rPr>
          <w:rFonts w:hint="eastAsia" w:ascii="仿宋_GB2312" w:hAnsi="仿宋_GB2312" w:eastAsia="仿宋_GB2312" w:cs="仿宋_GB2312"/>
          <w:b w:val="0"/>
          <w:bCs w:val="0"/>
          <w:color w:val="auto"/>
          <w:sz w:val="28"/>
          <w:szCs w:val="28"/>
          <w:shd w:val="clear" w:color="auto" w:fill="FFFFFF"/>
          <w:lang w:eastAsia="zh-CN"/>
        </w:rPr>
        <w:t>”</w:t>
      </w:r>
      <w:r>
        <w:rPr>
          <w:rFonts w:hint="eastAsia" w:ascii="仿宋_GB2312" w:hAnsi="仿宋_GB2312" w:eastAsia="仿宋_GB2312" w:cs="仿宋_GB2312"/>
          <w:b w:val="0"/>
          <w:bCs w:val="0"/>
          <w:color w:val="auto"/>
          <w:sz w:val="28"/>
          <w:szCs w:val="28"/>
          <w:shd w:val="clear" w:color="auto" w:fill="FFFFFF"/>
        </w:rPr>
        <w:t>成四中全会公报高频词，未来十年将“再造”一个高技术产业</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2" w:firstLineChars="200"/>
        <w:jc w:val="both"/>
        <w:textAlignment w:val="auto"/>
        <w:rPr>
          <w:rFonts w:hint="eastAsia" w:ascii="仿宋_GB2312" w:hAnsi="仿宋_GB2312" w:eastAsia="仿宋_GB2312" w:cs="仿宋_GB2312"/>
          <w:b w:val="0"/>
          <w:bCs w:val="0"/>
          <w:color w:val="auto"/>
          <w:spacing w:val="8"/>
          <w:sz w:val="28"/>
          <w:szCs w:val="28"/>
        </w:rPr>
      </w:pPr>
      <w:r>
        <w:rPr>
          <w:rFonts w:hint="eastAsia" w:ascii="仿宋_GB2312" w:hAnsi="仿宋_GB2312" w:eastAsia="仿宋_GB2312" w:cs="仿宋_GB2312"/>
          <w:b w:val="0"/>
          <w:bCs w:val="0"/>
          <w:color w:val="auto"/>
          <w:spacing w:val="8"/>
          <w:sz w:val="28"/>
          <w:szCs w:val="28"/>
        </w:rPr>
        <w:t>2、科技部部长阴和俊：“十五五”将加快部署推进重大科技创新任务</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color w:val="auto"/>
          <w:sz w:val="28"/>
          <w:szCs w:val="28"/>
          <w:shd w:val="clear" w:color="auto" w:fill="FFFFFF"/>
        </w:rPr>
        <w:t>3、数说“十四五”科技成就</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00" w:lineRule="exact"/>
        <w:ind w:left="0" w:firstLine="592" w:firstLineChars="200"/>
        <w:jc w:val="both"/>
        <w:textAlignment w:val="auto"/>
        <w:rPr>
          <w:rFonts w:hint="eastAsia" w:ascii="黑体" w:hAnsi="黑体" w:eastAsia="黑体" w:cs="黑体"/>
          <w:color w:val="auto"/>
          <w:spacing w:val="8"/>
          <w:sz w:val="28"/>
          <w:szCs w:val="28"/>
        </w:rPr>
      </w:pPr>
      <w:r>
        <w:rPr>
          <w:rFonts w:hint="eastAsia" w:ascii="黑体" w:hAnsi="黑体" w:eastAsia="黑体" w:cs="黑体"/>
          <w:color w:val="auto"/>
          <w:spacing w:val="8"/>
          <w:kern w:val="0"/>
          <w:sz w:val="28"/>
          <w:szCs w:val="28"/>
          <w:lang w:val="en-US" w:eastAsia="zh-CN" w:bidi="ar-SA"/>
        </w:rPr>
        <w:t>（二）</w:t>
      </w:r>
      <w:r>
        <w:rPr>
          <w:rFonts w:hint="eastAsia" w:ascii="黑体" w:hAnsi="黑体" w:eastAsia="黑体" w:cs="黑体"/>
          <w:color w:val="auto"/>
          <w:spacing w:val="8"/>
          <w:sz w:val="28"/>
          <w:szCs w:val="28"/>
        </w:rPr>
        <w:t>国外科技新闻快讯</w:t>
      </w:r>
    </w:p>
    <w:p>
      <w:pPr>
        <w:pStyle w:val="8"/>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default" w:ascii="仿宋_GB2312" w:hAnsi="仿宋_GB2312" w:eastAsia="仿宋_GB2312" w:cs="仿宋_GB2312"/>
          <w:b w:val="0"/>
          <w:bCs w:val="0"/>
          <w:color w:val="auto"/>
          <w:spacing w:val="-6"/>
          <w:kern w:val="36"/>
          <w:sz w:val="28"/>
          <w:szCs w:val="28"/>
          <w:lang w:val="en-US" w:eastAsia="zh-CN" w:bidi="ar-SA"/>
        </w:rPr>
      </w:pPr>
      <w:r>
        <w:rPr>
          <w:rFonts w:hint="eastAsia" w:ascii="仿宋_GB2312" w:hAnsi="仿宋_GB2312" w:eastAsia="仿宋_GB2312" w:cs="仿宋_GB2312"/>
          <w:b w:val="0"/>
          <w:bCs w:val="0"/>
          <w:color w:val="auto"/>
          <w:kern w:val="36"/>
          <w:sz w:val="28"/>
          <w:szCs w:val="28"/>
          <w:lang w:val="en-US" w:eastAsia="zh-CN" w:bidi="ar-SA"/>
        </w:rPr>
        <w:t>1、</w:t>
      </w:r>
      <w:r>
        <w:rPr>
          <w:rFonts w:hint="eastAsia" w:ascii="仿宋_GB2312" w:hAnsi="仿宋_GB2312" w:eastAsia="仿宋_GB2312" w:cs="仿宋_GB2312"/>
          <w:b w:val="0"/>
          <w:bCs w:val="0"/>
          <w:color w:val="auto"/>
          <w:spacing w:val="-6"/>
          <w:kern w:val="36"/>
          <w:sz w:val="28"/>
          <w:szCs w:val="28"/>
          <w:lang w:val="en-US" w:eastAsia="zh-CN" w:bidi="ar-SA"/>
        </w:rPr>
        <w:t>瑞士研究团队开发出一种全新3D打印技术，实现先打印再选材</w:t>
      </w:r>
    </w:p>
    <w:p>
      <w:pPr>
        <w:pStyle w:val="8"/>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b w:val="0"/>
          <w:bCs w:val="0"/>
          <w:color w:val="auto"/>
          <w:kern w:val="36"/>
          <w:sz w:val="28"/>
          <w:szCs w:val="28"/>
          <w:lang w:val="en-US" w:eastAsia="zh-CN" w:bidi="ar-SA"/>
        </w:rPr>
      </w:pPr>
      <w:r>
        <w:rPr>
          <w:rFonts w:hint="eastAsia" w:ascii="仿宋_GB2312" w:hAnsi="仿宋_GB2312" w:eastAsia="仿宋_GB2312" w:cs="仿宋_GB2312"/>
          <w:b w:val="0"/>
          <w:bCs w:val="0"/>
          <w:color w:val="auto"/>
          <w:kern w:val="36"/>
          <w:sz w:val="28"/>
          <w:szCs w:val="28"/>
          <w:lang w:val="en-US" w:eastAsia="zh-CN" w:bidi="ar-SA"/>
        </w:rPr>
        <w:t>2、新研究发现可提高化疗效果的抗癌微生物</w:t>
      </w:r>
    </w:p>
    <w:p>
      <w:pPr>
        <w:pStyle w:val="8"/>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default" w:ascii="黑体" w:hAnsi="黑体" w:eastAsia="黑体" w:cs="黑体"/>
          <w:b w:val="0"/>
          <w:bCs w:val="0"/>
          <w:color w:val="auto"/>
          <w:sz w:val="28"/>
          <w:szCs w:val="28"/>
          <w:shd w:val="clear" w:color="auto" w:fill="FFFFFF"/>
          <w:lang w:val="en-US" w:eastAsia="zh-CN"/>
        </w:rPr>
      </w:pPr>
      <w:r>
        <w:rPr>
          <w:rFonts w:hint="eastAsia" w:ascii="仿宋_GB2312" w:hAnsi="仿宋_GB2312" w:eastAsia="仿宋_GB2312" w:cs="仿宋_GB2312"/>
          <w:b w:val="0"/>
          <w:bCs w:val="0"/>
          <w:color w:val="auto"/>
          <w:kern w:val="36"/>
          <w:sz w:val="28"/>
          <w:szCs w:val="28"/>
          <w:lang w:val="en-US" w:eastAsia="zh-CN" w:bidi="ar-SA"/>
        </w:rPr>
        <w:t>3、美国SpaceX公司成功进行星舰的第11次试飞</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eastAsia" w:ascii="仿宋_GB2312" w:hAnsi="仿宋_GB2312" w:eastAsia="仿宋_GB2312" w:cs="仿宋_GB2312"/>
          <w:b w:val="0"/>
          <w:bCs w:val="0"/>
          <w:color w:val="auto"/>
          <w:kern w:val="36"/>
          <w:sz w:val="28"/>
          <w:szCs w:val="28"/>
          <w:lang w:val="en-US" w:eastAsia="zh-CN" w:bidi="ar-SA"/>
        </w:rPr>
        <w:t>4</w:t>
      </w:r>
      <w:r>
        <w:rPr>
          <w:rFonts w:hint="default" w:ascii="仿宋_GB2312" w:hAnsi="仿宋_GB2312" w:eastAsia="仿宋_GB2312" w:cs="仿宋_GB2312"/>
          <w:b w:val="0"/>
          <w:bCs w:val="0"/>
          <w:color w:val="auto"/>
          <w:kern w:val="36"/>
          <w:sz w:val="28"/>
          <w:szCs w:val="28"/>
          <w:lang w:val="en-US" w:eastAsia="zh-CN" w:bidi="ar-SA"/>
        </w:rPr>
        <w:t>、美国莱斯大学领导的研究团队开发出新型超材料，能通过遥控改变尺寸和形状</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eastAsia" w:ascii="仿宋_GB2312" w:hAnsi="仿宋_GB2312" w:eastAsia="仿宋_GB2312" w:cs="仿宋_GB2312"/>
          <w:b w:val="0"/>
          <w:bCs w:val="0"/>
          <w:color w:val="auto"/>
          <w:kern w:val="36"/>
          <w:sz w:val="28"/>
          <w:szCs w:val="28"/>
          <w:lang w:val="en-US" w:eastAsia="zh-CN" w:bidi="ar-SA"/>
        </w:rPr>
        <w:t>5</w:t>
      </w:r>
      <w:r>
        <w:rPr>
          <w:rFonts w:hint="default" w:ascii="仿宋_GB2312" w:hAnsi="仿宋_GB2312" w:eastAsia="仿宋_GB2312" w:cs="仿宋_GB2312"/>
          <w:b w:val="0"/>
          <w:bCs w:val="0"/>
          <w:color w:val="auto"/>
          <w:kern w:val="36"/>
          <w:sz w:val="28"/>
          <w:szCs w:val="28"/>
          <w:lang w:val="en-US" w:eastAsia="zh-CN" w:bidi="ar-SA"/>
        </w:rPr>
        <w:t>、日本首艘氢燃料拖船“Ten-Oh”由常石造船交付并投入使用</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二</w:t>
      </w:r>
      <w:r>
        <w:rPr>
          <w:rFonts w:hint="default" w:ascii="黑体" w:hAnsi="黑体" w:eastAsia="黑体" w:cs="黑体"/>
          <w:color w:val="auto"/>
          <w:sz w:val="28"/>
          <w:szCs w:val="28"/>
          <w:lang w:val="en-US" w:eastAsia="zh-CN"/>
        </w:rPr>
        <w:t>、科技创新政策</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eastAsia" w:ascii="仿宋_GB2312" w:hAnsi="仿宋_GB2312" w:eastAsia="仿宋_GB2312" w:cs="仿宋_GB2312"/>
          <w:color w:val="auto"/>
          <w:sz w:val="28"/>
          <w:szCs w:val="28"/>
        </w:rPr>
        <w:t>工业和信息化部等七部门联合印发</w:t>
      </w:r>
      <w:r>
        <w:rPr>
          <w:rFonts w:hint="default" w:ascii="仿宋_GB2312" w:hAnsi="仿宋_GB2312" w:eastAsia="仿宋_GB2312" w:cs="仿宋_GB2312"/>
          <w:b w:val="0"/>
          <w:bCs w:val="0"/>
          <w:color w:val="auto"/>
          <w:kern w:val="36"/>
          <w:sz w:val="28"/>
          <w:szCs w:val="28"/>
          <w:lang w:val="en-US" w:eastAsia="zh-CN" w:bidi="ar-SA"/>
        </w:rPr>
        <w:t>深入推动服务型制造创新发展实施方案(2025—2028年)</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三、</w:t>
      </w:r>
      <w:r>
        <w:rPr>
          <w:rFonts w:hint="default" w:ascii="黑体" w:hAnsi="黑体" w:eastAsia="黑体" w:cs="黑体"/>
          <w:color w:val="auto"/>
          <w:sz w:val="28"/>
          <w:szCs w:val="28"/>
          <w:lang w:val="en-US" w:eastAsia="zh-CN"/>
        </w:rPr>
        <w:t>产业前沿科技</w:t>
      </w:r>
    </w:p>
    <w:p>
      <w:pPr>
        <w:pStyle w:val="15"/>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00" w:lineRule="exact"/>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default" w:ascii="仿宋_GB2312" w:hAnsi="仿宋_GB2312" w:eastAsia="仿宋_GB2312" w:cs="仿宋_GB2312"/>
          <w:b w:val="0"/>
          <w:bCs w:val="0"/>
          <w:color w:val="auto"/>
          <w:kern w:val="36"/>
          <w:sz w:val="28"/>
          <w:szCs w:val="28"/>
          <w:lang w:val="en-US" w:eastAsia="zh-CN" w:bidi="ar-SA"/>
        </w:rPr>
        <w:t>人形机器人史上首个百米“飞人”诞生</w:t>
      </w:r>
    </w:p>
    <w:p>
      <w:pPr>
        <w:pStyle w:val="15"/>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00" w:lineRule="exact"/>
        <w:ind w:left="0" w:leftChars="0"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default" w:ascii="仿宋_GB2312" w:hAnsi="仿宋_GB2312" w:eastAsia="仿宋_GB2312" w:cs="仿宋_GB2312"/>
          <w:b w:val="0"/>
          <w:bCs w:val="0"/>
          <w:color w:val="auto"/>
          <w:kern w:val="36"/>
          <w:sz w:val="28"/>
          <w:szCs w:val="28"/>
          <w:lang w:val="en-US" w:eastAsia="zh-CN" w:bidi="ar-SA"/>
        </w:rPr>
        <w:t>多家机器人企业在2025世界机器人大会展示最新技术成果</w:t>
      </w:r>
    </w:p>
    <w:p>
      <w:pPr>
        <w:pStyle w:val="15"/>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00" w:lineRule="exact"/>
        <w:ind w:left="0" w:leftChars="0"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pPr>
      <w:r>
        <w:rPr>
          <w:rFonts w:hint="default" w:ascii="仿宋_GB2312" w:hAnsi="仿宋_GB2312" w:eastAsia="仿宋_GB2312" w:cs="仿宋_GB2312"/>
          <w:b w:val="0"/>
          <w:bCs w:val="0"/>
          <w:color w:val="auto"/>
          <w:kern w:val="36"/>
          <w:sz w:val="28"/>
          <w:szCs w:val="28"/>
          <w:lang w:val="en-US" w:eastAsia="zh-CN" w:bidi="ar-SA"/>
        </w:rPr>
        <w:t>广和通：发布新一代具身智能开发平台 Fibot</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四</w:t>
      </w:r>
      <w:r>
        <w:rPr>
          <w:rFonts w:hint="default" w:ascii="黑体" w:hAnsi="黑体" w:eastAsia="黑体" w:cs="黑体"/>
          <w:color w:val="auto"/>
          <w:sz w:val="28"/>
          <w:szCs w:val="28"/>
          <w:lang w:val="en-US" w:eastAsia="zh-CN"/>
        </w:rPr>
        <w:t>、科普知识</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20" w:lineRule="exact"/>
        <w:ind w:firstLine="560" w:firstLineChars="200"/>
        <w:jc w:val="both"/>
        <w:textAlignment w:val="auto"/>
        <w:rPr>
          <w:rFonts w:hint="default" w:ascii="仿宋_GB2312" w:hAnsi="仿宋_GB2312" w:eastAsia="仿宋_GB2312" w:cs="仿宋_GB2312"/>
          <w:b w:val="0"/>
          <w:bCs w:val="0"/>
          <w:color w:val="auto"/>
          <w:kern w:val="36"/>
          <w:sz w:val="28"/>
          <w:szCs w:val="28"/>
          <w:lang w:val="en-US" w:eastAsia="zh-CN" w:bidi="ar-SA"/>
        </w:rPr>
        <w:sectPr>
          <w:headerReference r:id="rId5" w:type="first"/>
          <w:footerReference r:id="rId7" w:type="first"/>
          <w:headerReference r:id="rId3" w:type="default"/>
          <w:headerReference r:id="rId4" w:type="even"/>
          <w:footerReference r:id="rId6" w:type="even"/>
          <w:pgSz w:w="11906" w:h="16838"/>
          <w:pgMar w:top="1440" w:right="1800" w:bottom="1440" w:left="1800" w:header="851" w:footer="992" w:gutter="0"/>
          <w:cols w:space="425" w:num="1"/>
          <w:docGrid w:type="lines" w:linePitch="312" w:charSpace="0"/>
        </w:sectPr>
      </w:pPr>
      <w:r>
        <w:rPr>
          <w:rFonts w:hint="default" w:ascii="仿宋_GB2312" w:hAnsi="仿宋_GB2312" w:eastAsia="仿宋_GB2312" w:cs="仿宋_GB2312"/>
          <w:b w:val="0"/>
          <w:bCs w:val="0"/>
          <w:color w:val="auto"/>
          <w:kern w:val="36"/>
          <w:sz w:val="28"/>
          <w:szCs w:val="28"/>
          <w:lang w:val="en-US" w:eastAsia="zh-CN" w:bidi="ar-SA"/>
        </w:rPr>
        <w:t>杨振宁究竟有多伟大？</w:t>
      </w:r>
    </w:p>
    <w:p>
      <w:pPr>
        <w:pStyle w:val="15"/>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640" w:lineRule="exact"/>
        <w:ind w:firstLine="720" w:firstLineChars="200"/>
        <w:jc w:val="both"/>
        <w:textAlignment w:val="auto"/>
        <w:rPr>
          <w:rFonts w:hint="eastAsia" w:ascii="黑体" w:hAnsi="黑体" w:eastAsia="黑体" w:cs="黑体"/>
          <w:color w:val="auto"/>
          <w:sz w:val="36"/>
          <w:szCs w:val="36"/>
        </w:rPr>
      </w:pPr>
      <w:r>
        <w:rPr>
          <w:rFonts w:hint="eastAsia" w:ascii="黑体" w:hAnsi="黑体" w:eastAsia="黑体" w:cs="黑体"/>
          <w:color w:val="auto"/>
          <w:sz w:val="36"/>
          <w:szCs w:val="36"/>
          <w:lang w:val="en-US" w:eastAsia="zh-CN"/>
        </w:rPr>
        <w:t>一、</w:t>
      </w:r>
      <w:r>
        <w:rPr>
          <w:rFonts w:hint="eastAsia" w:ascii="黑体" w:hAnsi="黑体" w:eastAsia="黑体" w:cs="黑体"/>
          <w:color w:val="auto"/>
          <w:sz w:val="36"/>
          <w:szCs w:val="36"/>
        </w:rPr>
        <w:t>科技新闻</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黑体" w:hAnsi="黑体" w:eastAsia="黑体" w:cs="黑体"/>
          <w:b w:val="0"/>
          <w:bCs w:val="0"/>
          <w:color w:val="auto"/>
          <w:sz w:val="28"/>
          <w:szCs w:val="28"/>
        </w:rPr>
      </w:pPr>
      <w:bookmarkStart w:id="0" w:name="OLE_LINK1"/>
      <w:bookmarkStart w:id="1" w:name="OLE_LINK2"/>
      <w:r>
        <w:rPr>
          <w:rFonts w:hint="eastAsia" w:ascii="黑体" w:hAnsi="黑体" w:eastAsia="黑体" w:cs="黑体"/>
          <w:b w:val="0"/>
          <w:bCs w:val="0"/>
          <w:color w:val="auto"/>
          <w:sz w:val="28"/>
          <w:szCs w:val="28"/>
          <w:lang w:eastAsia="zh-CN"/>
        </w:rPr>
        <w:t>（</w:t>
      </w:r>
      <w:r>
        <w:rPr>
          <w:rFonts w:hint="eastAsia" w:ascii="黑体" w:hAnsi="黑体" w:eastAsia="黑体" w:cs="黑体"/>
          <w:b w:val="0"/>
          <w:bCs w:val="0"/>
          <w:color w:val="auto"/>
          <w:sz w:val="28"/>
          <w:szCs w:val="28"/>
        </w:rPr>
        <w:t>一</w:t>
      </w:r>
      <w:r>
        <w:rPr>
          <w:rFonts w:hint="eastAsia" w:ascii="黑体" w:hAnsi="黑体" w:eastAsia="黑体" w:cs="黑体"/>
          <w:b w:val="0"/>
          <w:bCs w:val="0"/>
          <w:color w:val="auto"/>
          <w:sz w:val="28"/>
          <w:szCs w:val="28"/>
          <w:lang w:eastAsia="zh-CN"/>
        </w:rPr>
        <w:t>）</w:t>
      </w:r>
      <w:r>
        <w:rPr>
          <w:rFonts w:hint="eastAsia" w:ascii="黑体" w:hAnsi="黑体" w:eastAsia="黑体" w:cs="黑体"/>
          <w:b w:val="0"/>
          <w:bCs w:val="0"/>
          <w:color w:val="auto"/>
          <w:sz w:val="28"/>
          <w:szCs w:val="28"/>
        </w:rPr>
        <w:t>国内科技新闻快讯</w:t>
      </w:r>
    </w:p>
    <w:bookmarkEnd w:id="0"/>
    <w:bookmarkEnd w:id="1"/>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val="0"/>
          <w:bCs w:val="0"/>
          <w:color w:val="auto"/>
          <w:spacing w:val="15"/>
          <w:sz w:val="28"/>
          <w:szCs w:val="28"/>
        </w:rPr>
      </w:pPr>
      <w:r>
        <w:rPr>
          <w:rFonts w:hint="eastAsia" w:ascii="仿宋_GB2312" w:hAnsi="仿宋_GB2312" w:eastAsia="仿宋_GB2312" w:cs="仿宋_GB2312"/>
          <w:b/>
          <w:bCs/>
          <w:color w:val="auto"/>
          <w:sz w:val="28"/>
          <w:szCs w:val="28"/>
        </w:rPr>
        <w:t>1.</w:t>
      </w:r>
      <w:r>
        <w:rPr>
          <w:rFonts w:hint="eastAsia" w:ascii="仿宋_GB2312" w:hAnsi="仿宋_GB2312" w:eastAsia="仿宋_GB2312" w:cs="仿宋_GB2312"/>
          <w:b/>
          <w:bCs/>
          <w:color w:val="auto"/>
          <w:spacing w:val="15"/>
          <w:sz w:val="28"/>
          <w:szCs w:val="28"/>
        </w:rPr>
        <w:t xml:space="preserve"> </w:t>
      </w:r>
      <w:r>
        <w:rPr>
          <w:rFonts w:hint="eastAsia" w:ascii="仿宋_GB2312" w:hAnsi="仿宋_GB2312" w:eastAsia="仿宋_GB2312" w:cs="仿宋_GB2312"/>
          <w:b/>
          <w:bCs/>
          <w:color w:val="auto"/>
          <w:spacing w:val="15"/>
          <w:sz w:val="28"/>
          <w:szCs w:val="28"/>
          <w:lang w:eastAsia="zh-CN"/>
        </w:rPr>
        <w:t>“</w:t>
      </w:r>
      <w:r>
        <w:rPr>
          <w:rFonts w:hint="eastAsia" w:ascii="仿宋_GB2312" w:hAnsi="仿宋_GB2312" w:eastAsia="仿宋_GB2312" w:cs="仿宋_GB2312"/>
          <w:b/>
          <w:bCs/>
          <w:color w:val="auto"/>
          <w:sz w:val="28"/>
          <w:szCs w:val="28"/>
          <w:shd w:val="clear" w:color="auto" w:fill="FFFFFF"/>
        </w:rPr>
        <w:t>科技</w:t>
      </w:r>
      <w:r>
        <w:rPr>
          <w:rFonts w:hint="eastAsia" w:ascii="仿宋_GB2312" w:hAnsi="仿宋_GB2312" w:eastAsia="仿宋_GB2312" w:cs="仿宋_GB2312"/>
          <w:b/>
          <w:bCs/>
          <w:color w:val="auto"/>
          <w:sz w:val="28"/>
          <w:szCs w:val="28"/>
          <w:shd w:val="clear" w:color="auto" w:fill="FFFFFF"/>
          <w:lang w:eastAsia="zh-CN"/>
        </w:rPr>
        <w:t>”</w:t>
      </w:r>
      <w:r>
        <w:rPr>
          <w:rFonts w:hint="eastAsia" w:ascii="仿宋_GB2312" w:hAnsi="仿宋_GB2312" w:eastAsia="仿宋_GB2312" w:cs="仿宋_GB2312"/>
          <w:b/>
          <w:bCs/>
          <w:color w:val="auto"/>
          <w:sz w:val="28"/>
          <w:szCs w:val="28"/>
          <w:shd w:val="clear" w:color="auto" w:fill="FFFFFF"/>
        </w:rPr>
        <w:t>成四中全会公报高频词，未来十年将“再造”一个高技术产业</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10月20日至23日，中国共产党第二十届中央委员会第四次全体会议在北京召开，审议通过了《中共中央关于制定国民经济和社会发展第十五个五年规划的建议》（下称《建议》）。全会提出，加快高水平科技自立自强，引领发展新质生产力。抓住新一轮科技革命和产业变革历史机遇，统筹教育强国、科技强国、人才强国建设，提升国家创新体系整体效能，全面增强自主创新能力，抢占科技发展制高点，不断催生新质生产力。要加强原始创新和关键核心技术攻关，推动科技创新和产业创新深度融合，一体推进教育科技人才发展，深入推进数字中国建设。</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sz w:val="28"/>
          <w:szCs w:val="28"/>
          <w:lang w:val="en-US" w:eastAsia="zh-CN"/>
        </w:rPr>
      </w:pPr>
      <w:r>
        <w:rPr>
          <w:rFonts w:hint="eastAsia" w:ascii="仿宋_GB2312" w:hAnsi="仿宋_GB2312" w:eastAsia="仿宋_GB2312" w:cs="仿宋_GB2312"/>
          <w:b/>
          <w:bCs/>
          <w:color w:val="auto"/>
          <w:sz w:val="28"/>
          <w:szCs w:val="28"/>
          <w:lang w:val="en-US" w:eastAsia="zh-CN"/>
        </w:rPr>
        <w:t>“再造一个中国高技术产业”</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过去五年，也是中国科技创新飞速发展的时期。“十四五”时期，我国科技实力跃上新台阶，科技创新成果丰硕，新质生产力稳步发展，为“十五五”经济社会发展奠定了坚实基础。2024年全社会研发投入超过3.6万亿元，较2020年增长48%。高水平国际期刊论文数量和国际专利申请量连续5年排名世界第一。国家综合创新能力排名由2020年的第14位提升至2024年的第10位。</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在10月24日举行的中共中央新闻发布会上，国家发展改革委党组书记、主任郑栅洁向包括《华夏时报》记者在内的媒体表示，“十五五”时期产业发展要固本升级、创新育新、扩容提质、强基增效，其中创新育新就是要培育壮大新兴产业和未来产业。2024年，我国“三新”经济增加值占GDP比重已经超过18%。《建议》提出打造新兴支柱产业，加快新能源、新材料、航空航天、低空经济等战略性新兴产业集群发展，这将催生出数个万亿级甚至更大规模的市场；《建议》还提出前瞻布局未来产业，推动量子科技、生物制造、氢能和核聚变能、脑机接口、具身智能、第六代移动通信等成为新的经济增长点。</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“这些产业蓄势发力，未来10年新增规模相当于再造一个中国高技术产业，为我国经济大盘、高质量发展注入源源不断的新动能。”郑栅洁指出。</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sz w:val="28"/>
          <w:szCs w:val="28"/>
          <w:lang w:val="en-US" w:eastAsia="zh-CN"/>
        </w:rPr>
      </w:pPr>
      <w:r>
        <w:rPr>
          <w:rFonts w:hint="eastAsia" w:ascii="仿宋_GB2312" w:hAnsi="仿宋_GB2312" w:eastAsia="仿宋_GB2312" w:cs="仿宋_GB2312"/>
          <w:b/>
          <w:bCs/>
          <w:color w:val="auto"/>
          <w:sz w:val="28"/>
          <w:szCs w:val="28"/>
          <w:lang w:val="en-US" w:eastAsia="zh-CN"/>
        </w:rPr>
        <w:t>2、科技部部长阴和俊：“十五五”将加快部署推进重大科技创新任务</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2" w:firstLineChars="200"/>
        <w:jc w:val="both"/>
        <w:textAlignment w:val="auto"/>
        <w:rPr>
          <w:rFonts w:hint="eastAsia" w:ascii="仿宋_GB2312" w:hAnsi="仿宋_GB2312" w:eastAsia="仿宋_GB2312" w:cs="仿宋_GB2312"/>
          <w:b w:val="0"/>
          <w:color w:val="auto"/>
          <w:spacing w:val="8"/>
          <w:sz w:val="28"/>
          <w:szCs w:val="28"/>
          <w:shd w:val="clear" w:color="auto" w:fill="FFFFFF"/>
        </w:rPr>
      </w:pPr>
      <w:r>
        <w:rPr>
          <w:rFonts w:hint="eastAsia" w:ascii="仿宋_GB2312" w:hAnsi="仿宋_GB2312" w:eastAsia="仿宋_GB2312" w:cs="仿宋_GB2312"/>
          <w:b w:val="0"/>
          <w:color w:val="auto"/>
          <w:spacing w:val="8"/>
          <w:sz w:val="28"/>
          <w:szCs w:val="28"/>
          <w:shd w:val="clear" w:color="auto" w:fill="FFFFFF"/>
        </w:rPr>
        <w:t>党的二十大提出到2035年建成科技强国的战略目标。党的二十届四中全会提出要加快高水平科技自立自强，引领发展新质生产力。这是以习近平同志为核心的党中央深刻洞察国内国际发展大势、准确把握科技和经济社会发展规律作出的重大战略决策。”10月24日，中共中央举行新闻发布会介绍和解读党的二十届四中全会精神，科技部党组书记、部长阴和俊如是说。</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2"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color w:val="auto"/>
          <w:spacing w:val="8"/>
          <w:sz w:val="28"/>
          <w:szCs w:val="28"/>
        </w:rPr>
        <w:t>阴和俊介绍，“十四五”时期，我国科技实力跃上新台阶，科技创新成果丰硕，新质生产力稳步发展，为“十五五”经济社会发展奠定了坚实基础。</w:t>
      </w:r>
      <w:r>
        <w:rPr>
          <w:rFonts w:hint="eastAsia" w:ascii="仿宋_GB2312" w:hAnsi="仿宋_GB2312" w:eastAsia="仿宋_GB2312" w:cs="仿宋_GB2312"/>
          <w:color w:val="auto"/>
          <w:spacing w:val="8"/>
          <w:sz w:val="28"/>
          <w:szCs w:val="28"/>
        </w:rPr>
        <w:br w:type="textWrapping"/>
      </w:r>
      <w:r>
        <w:rPr>
          <w:rFonts w:hint="eastAsia" w:ascii="仿宋_GB2312" w:hAnsi="仿宋_GB2312" w:eastAsia="仿宋_GB2312" w:cs="仿宋_GB2312"/>
          <w:color w:val="auto"/>
          <w:spacing w:val="8"/>
          <w:sz w:val="28"/>
          <w:szCs w:val="28"/>
        </w:rPr>
        <w:t xml:space="preserve"> </w:t>
      </w:r>
      <w:r>
        <w:rPr>
          <w:rFonts w:hint="eastAsia" w:ascii="仿宋_GB2312" w:hAnsi="仿宋_GB2312" w:eastAsia="仿宋_GB2312" w:cs="仿宋_GB2312"/>
          <w:color w:val="auto"/>
          <w:spacing w:val="8"/>
          <w:sz w:val="28"/>
          <w:szCs w:val="28"/>
          <w:lang w:val="en-US" w:eastAsia="zh-CN"/>
        </w:rPr>
        <w:t xml:space="preserve">   </w:t>
      </w:r>
      <w:r>
        <w:rPr>
          <w:rFonts w:hint="eastAsia" w:ascii="仿宋_GB2312" w:hAnsi="仿宋_GB2312" w:eastAsia="仿宋_GB2312" w:cs="仿宋_GB2312"/>
          <w:color w:val="auto"/>
          <w:spacing w:val="8"/>
          <w:sz w:val="28"/>
          <w:szCs w:val="28"/>
        </w:rPr>
        <w:t>阴和俊说，《建议》具体从4方面作出部署：</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4"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b/>
          <w:bCs/>
          <w:color w:val="auto"/>
          <w:spacing w:val="8"/>
          <w:sz w:val="28"/>
          <w:szCs w:val="28"/>
        </w:rPr>
        <w:t>——加强原始创新和关键核心技术攻关。</w:t>
      </w:r>
      <w:r>
        <w:rPr>
          <w:rFonts w:hint="eastAsia" w:ascii="仿宋_GB2312" w:hAnsi="仿宋_GB2312" w:eastAsia="仿宋_GB2312" w:cs="仿宋_GB2312"/>
          <w:color w:val="auto"/>
          <w:spacing w:val="8"/>
          <w:sz w:val="28"/>
          <w:szCs w:val="28"/>
        </w:rPr>
        <w:t>完善新型举国体制，全链条推动集成电路、工业母机、高端仪器等重点领域关键核心技术攻关取得决定性突破。突出国家战略需求，部署实施一批国家重大科技任务。加强基础研究战略性、前瞻性、体系化布局，加大长期稳定支持。强化科学研究、技术开发原始创新导向，产出更多标志性原创成果。</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4"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b/>
          <w:bCs/>
          <w:color w:val="auto"/>
          <w:spacing w:val="8"/>
          <w:sz w:val="28"/>
          <w:szCs w:val="28"/>
        </w:rPr>
        <w:t>——推动科技创新和产业创新深度融合。</w:t>
      </w:r>
      <w:r>
        <w:rPr>
          <w:rFonts w:hint="eastAsia" w:ascii="仿宋_GB2312" w:hAnsi="仿宋_GB2312" w:eastAsia="仿宋_GB2312" w:cs="仿宋_GB2312"/>
          <w:color w:val="auto"/>
          <w:spacing w:val="8"/>
          <w:sz w:val="28"/>
          <w:szCs w:val="28"/>
        </w:rPr>
        <w:t>统筹国家战略科技力量建设，增强体系化攻关能力。强化科技基础条件自主保障，完善区域创新体系，加快重大科技成果高效转化应用，加强知识产权保护。强化企业科技创新主体地位，支持企业牵头组建创新联合体、承担更多国家科技攻关任务。培育壮大科技领军企业，支持高新技术企业和科技型中小企业发展，提高企业研发费用加计扣除比例。培育创新文化，营造具有全球竞争力的开放创新生态。</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4"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b/>
          <w:bCs/>
          <w:color w:val="auto"/>
          <w:spacing w:val="8"/>
          <w:sz w:val="28"/>
          <w:szCs w:val="28"/>
        </w:rPr>
        <w:t>——一体推进教育科技人才发展。</w:t>
      </w:r>
      <w:r>
        <w:rPr>
          <w:rFonts w:hint="eastAsia" w:ascii="仿宋_GB2312" w:hAnsi="仿宋_GB2312" w:eastAsia="仿宋_GB2312" w:cs="仿宋_GB2312"/>
          <w:color w:val="auto"/>
          <w:spacing w:val="8"/>
          <w:sz w:val="28"/>
          <w:szCs w:val="28"/>
        </w:rPr>
        <w:t>建立健全一体推进的协调机制，强化规划衔接、政策协同、资源统筹、评价联动。围绕科技创新、产业发展和国家战略需求协同育人，加快建设国家战略人才力量。以创新能力、质量、实效、贡献为评价导向，深化项目评审、机构评估、人才评价、收入分配改革。</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94" w:firstLineChars="200"/>
        <w:jc w:val="both"/>
        <w:textAlignment w:val="auto"/>
        <w:rPr>
          <w:rFonts w:hint="eastAsia" w:ascii="仿宋_GB2312" w:hAnsi="仿宋_GB2312" w:eastAsia="仿宋_GB2312" w:cs="仿宋_GB2312"/>
          <w:color w:val="auto"/>
          <w:spacing w:val="8"/>
          <w:sz w:val="28"/>
          <w:szCs w:val="28"/>
        </w:rPr>
      </w:pPr>
      <w:r>
        <w:rPr>
          <w:rFonts w:hint="eastAsia" w:ascii="仿宋_GB2312" w:hAnsi="仿宋_GB2312" w:eastAsia="仿宋_GB2312" w:cs="仿宋_GB2312"/>
          <w:b/>
          <w:bCs/>
          <w:color w:val="auto"/>
          <w:spacing w:val="8"/>
          <w:sz w:val="28"/>
          <w:szCs w:val="28"/>
        </w:rPr>
        <w:t>——深入推进数字中国建设。</w:t>
      </w:r>
      <w:r>
        <w:rPr>
          <w:rFonts w:hint="eastAsia" w:ascii="仿宋_GB2312" w:hAnsi="仿宋_GB2312" w:eastAsia="仿宋_GB2312" w:cs="仿宋_GB2312"/>
          <w:color w:val="auto"/>
          <w:spacing w:val="8"/>
          <w:sz w:val="28"/>
          <w:szCs w:val="28"/>
        </w:rPr>
        <w:t>建设开放共享安全的全国一体化数据市场，促进实体经济和数字经济深度融合。加快人工智能等数智技术创新，强化算力、算法、数据等高效供给。全面实施“人工智能+”行动，全方位赋能千行百业。</w:t>
      </w:r>
    </w:p>
    <w:p>
      <w:pPr>
        <w:pStyle w:val="2"/>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sz w:val="28"/>
          <w:szCs w:val="28"/>
          <w:lang w:val="en-US" w:eastAsia="zh-CN"/>
        </w:rPr>
      </w:pPr>
      <w:r>
        <w:rPr>
          <w:rFonts w:hint="eastAsia" w:ascii="仿宋_GB2312" w:hAnsi="仿宋_GB2312" w:eastAsia="仿宋_GB2312" w:cs="仿宋_GB2312"/>
          <w:b/>
          <w:bCs/>
          <w:color w:val="auto"/>
          <w:sz w:val="28"/>
          <w:szCs w:val="28"/>
          <w:lang w:val="en-US" w:eastAsia="zh-CN"/>
        </w:rPr>
        <w:t>3、数说“十四五”科技成就</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全社会研发投入超3.6万亿元，高水平国际期刊论文数量和国际专利申请量连续5年世界第一，高新技术企业超50万家……今年是“十四五”规划的收官之年，5年来，我国科技事业大厦建得更高，科技强国根基夯得更实。</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科技日报特推出专版，汇总“高质量完成‘十四五’规划”系列主题新闻发布会披露的最新数据，展示我国科技事业取得的辉煌成就。</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2"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8"/>
          <w:szCs w:val="28"/>
        </w:rPr>
        <w:t>新质生产力加快形成</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我国规上高技术制造业增加值较“十三五”末增长42%。</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我国“三新”经济增加值占GDP的比重达18%，人工智能、生物科技等前沿领域正在形成新的经济增长点。</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全国新能源汽车累计销售突破4000万辆，产销量连续10年保持全球第一。</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我国“灯塔工厂”数量全球第一，占比超40%。</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2"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8"/>
          <w:szCs w:val="28"/>
        </w:rPr>
        <w:t>科技投入不断增加</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2024年全社会研发投入超3.6万亿元，较2020年增长48%。</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基础研究经费达2497亿元，较2020年增长超过70%。</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研发投入强度达到2.68%，超过欧盟国家平均水平；研发人员总量世界第一。</w:t>
      </w:r>
      <w:r>
        <w:rPr>
          <w:rFonts w:hint="eastAsia" w:ascii="仿宋_GB2312" w:hAnsi="仿宋_GB2312" w:eastAsia="仿宋_GB2312" w:cs="仿宋_GB2312"/>
          <w:color w:val="auto"/>
          <w:kern w:val="0"/>
          <w:sz w:val="28"/>
          <w:szCs w:val="28"/>
        </w:rPr>
        <w:br w:type="textWrapping"/>
      </w:r>
      <w:r>
        <w:rPr>
          <w:rFonts w:hint="eastAsia" w:ascii="仿宋_GB2312" w:hAnsi="仿宋_GB2312" w:eastAsia="仿宋_GB2312" w:cs="仿宋_GB2312"/>
          <w:color w:val="auto"/>
          <w:kern w:val="0"/>
          <w:sz w:val="28"/>
          <w:szCs w:val="28"/>
          <w:lang w:val="en-US" w:eastAsia="zh-CN"/>
        </w:rPr>
        <w:t xml:space="preserve">    </w:t>
      </w:r>
      <w:r>
        <w:rPr>
          <w:rFonts w:hint="eastAsia" w:ascii="仿宋_GB2312" w:hAnsi="仿宋_GB2312" w:eastAsia="仿宋_GB2312" w:cs="仿宋_GB2312"/>
          <w:b/>
          <w:bCs/>
          <w:color w:val="auto"/>
          <w:kern w:val="0"/>
          <w:sz w:val="28"/>
          <w:szCs w:val="28"/>
        </w:rPr>
        <w:t>成果转化再上新台阶</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全国技术合同成交额连续多年保持两位数增长，2024年达6.8万亿元。</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2"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8"/>
          <w:szCs w:val="28"/>
        </w:rPr>
        <w:t>科技金融精准助力</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科技创新和技术改造再贷款规模增加到8000亿元。</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国家开发银行设立3000亿元的“重大科技创新和基础研究专项贷款”。</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2"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8"/>
          <w:szCs w:val="28"/>
        </w:rPr>
        <w:t>民生福祉持续改善</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精准防治使京津冀及周边地区PM2.5的平均浓度下降了18%。</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CR450动车组运营时速可达400公里。</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left="559" w:leftChars="266" w:firstLine="0" w:firstLineChars="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C919目前累计获得国内外订单超过1000架。</w:t>
      </w:r>
      <w:r>
        <w:rPr>
          <w:rFonts w:hint="eastAsia" w:ascii="仿宋_GB2312" w:hAnsi="仿宋_GB2312" w:eastAsia="仿宋_GB2312" w:cs="仿宋_GB2312"/>
          <w:color w:val="auto"/>
          <w:kern w:val="0"/>
          <w:sz w:val="28"/>
          <w:szCs w:val="28"/>
        </w:rPr>
        <w:br w:type="textWrapping"/>
      </w:r>
      <w:r>
        <w:rPr>
          <w:rFonts w:hint="eastAsia" w:ascii="仿宋_GB2312" w:hAnsi="仿宋_GB2312" w:eastAsia="仿宋_GB2312" w:cs="仿宋_GB2312"/>
          <w:b/>
          <w:bCs/>
          <w:color w:val="auto"/>
          <w:kern w:val="0"/>
          <w:sz w:val="28"/>
          <w:szCs w:val="28"/>
        </w:rPr>
        <w:t>基础研究实力增强</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高被引论文数约占世界总数的1/3，连续4年稳居世界第二。</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基础研究人才队伍由2021年的47.2万人年增长到2023年的57.5万人年。2024年，我国高被引科学家达到1405人次，占全世界的1/5。</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firstLineChars="200"/>
        <w:jc w:val="both"/>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在量子科技、生命科学、物质科学、空间科学等领域取得一批重大原创性成果，高水平国际期刊论文数量和国际专利申请量连续5年世界第一。</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640" w:lineRule="exact"/>
        <w:ind w:left="0" w:firstLine="560" w:firstLineChars="200"/>
        <w:jc w:val="both"/>
        <w:textAlignment w:val="auto"/>
        <w:rPr>
          <w:rFonts w:hint="eastAsia" w:ascii="黑体" w:hAnsi="黑体" w:eastAsia="黑体" w:cs="黑体"/>
          <w:b w:val="0"/>
          <w:bCs w:val="0"/>
          <w:color w:val="auto"/>
          <w:kern w:val="36"/>
          <w:sz w:val="28"/>
          <w:szCs w:val="28"/>
          <w:lang w:val="en-US" w:eastAsia="zh-CN" w:bidi="ar-SA"/>
        </w:rPr>
      </w:pPr>
      <w:r>
        <w:rPr>
          <w:rFonts w:hint="eastAsia" w:ascii="黑体" w:hAnsi="黑体" w:eastAsia="黑体" w:cs="黑体"/>
          <w:b w:val="0"/>
          <w:bCs w:val="0"/>
          <w:color w:val="auto"/>
          <w:kern w:val="36"/>
          <w:sz w:val="28"/>
          <w:szCs w:val="28"/>
          <w:lang w:val="en-US" w:eastAsia="zh-CN" w:bidi="ar-SA"/>
        </w:rPr>
        <w:t>（二）国外科技新闻快讯</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1、瑞士研究团队开发出一种全新3D打印技术，实现先打印再选材</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据最新一期《先进材料》杂志报道，瑞士洛桑联邦理工学院研究团队开发出一种全新3D打印技术，利用普通水凝胶“生长”出结构复杂、强度高、密度大的金属与陶瓷部件，突破了传统光固化立体打印仅能通过感光聚合物的限制。同时，研究还提出了一种新的增材制造理念，即在3D打印之后而非之前选择材料。</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在实验中，团队利用该技术成功打印出由铁、银和铜构成的复杂数学晶格结构——旋面体。这种结构兼具高比强度和复杂几何特征，是航空航天和能源器件中理想的设计形态。测试结果显示，新材料可承受的压力是传统方法制备材料的20倍，收缩率仅为20%，远低于以往的60%—90%。</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团队指出，这项技术特别适用于制造兼顾轻量化与高强度，且结构复杂的三维器件，如传感器、生物医学设备、能源转换与储存装置等。此外，该技术还可用于制造具有高比表面积、散热性能优异的金属结构，用于能源技术领域。</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2、新研究发现可提高化疗效果的抗癌微生物</w:t>
      </w:r>
    </w:p>
    <w:p>
      <w:pPr>
        <w:pStyle w:val="8"/>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人的皮肤和肠道中存在大量微生物，一项新研究发现肿瘤内部也存在独特的细菌群落。这些与肿瘤相关的微生物能够产生一种可控制癌症进展并提高化疗效果的分子，有助于开发出更有效的新型抗癌药物。</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由英国医学研究委员会医学科学实验室等机构组成的国际研究团队，发现了一种由结直肠癌相关细菌产生的抗癌代谢物，为癌症治疗提供了新思路，包括开发能增强现有疗法效力的新型药物。相关研究成果已发表在国际学术期刊《细胞系统》上。</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科研人员发现，大肠杆菌产生的一种名为2-甲基异柠檬酸</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（2-MiCit）的分子能提高化疗药物5-氟尿嘧啶的疗效。在线虫、果</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蝇及人类癌细胞中开展的实验均证实了该分子的显著抗癌疗效。</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研究显示，2-MiCit分子通过抑制结直肠癌细胞线粒体中的一种关键酶发挥作用，导致DNA损伤并激活可减缓癌症进展的信号通路。这种多管齐下的攻击策略削弱了癌细胞，并与化疗药物5-氟尿嘧啶产生协同作用，比使用单一化合物能更有效地杀死癌细胞。</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3、美国SpaceX公司成功进行星舰的第11次试飞</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2025年10月14日，据Space.com报道，美国SpaceX公司成功进行了星舰的第11次试飞，这也是当前V2型号的最后一次飞行。此次任务延续了此前连续两次成功的态势，完美实现了所有预定目标，包括助推器溅落、上级火箭在太空中重新点火发动机、释放模拟卫星，并最终精准溅落于印度洋。这次“告别演出”不仅验证了新的着陆点火策略和隔热瓦测试，也为即将到来的更大型号星舰铺平了道路。作为人类探索月球与火星的关键载具，星舰已被NASA选定为阿耳忒弥斯登月计划的着陆器，其完全可重复使用的设计旨在实现高频次发射，最终助力埃隆·马斯克建立火星基地的宏伟目标。</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4、美国莱斯大学领导的研究团队开发出新型超材料，能通过遥控改变尺寸和形状</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rPr>
        <w:t>2025年9月24日，据科技日报报道，美国莱斯大学领导的研究团队开发出一种新型超材料，兼具柔软性与高强度，能通过远程控制快速改变尺寸和形状。该材料通过引入梯形支撑段等几何特征实现“多稳定性”，可在多种稳定状态间切换并锁定形态，无需持续供能；采用3D打印构建微结构单元，能承受超自身重量十倍的压缩载荷，在强酸、温度变化等恶劣环境中保持稳定。其组合结构可在外部磁场驱动下整体变形并产生蠕动运动，长期暴露于机械应力和模拟胃酸环境后仍功能完整。这一突破有望为可植入医疗设备带来新能力，实现精确定位、靶向药物递送及可控机械刺激。团队正与外科医生合作设</w:t>
      </w:r>
      <w:r>
        <w:rPr>
          <w:rFonts w:hint="eastAsia" w:ascii="仿宋_GB2312" w:hAnsi="仿宋_GB2312" w:eastAsia="仿宋_GB2312" w:cs="仿宋_GB2312"/>
          <w:color w:val="auto"/>
          <w:sz w:val="28"/>
          <w:szCs w:val="28"/>
          <w:lang w:val="en-US" w:eastAsia="zh-CN"/>
        </w:rPr>
        <w:t>计无线流体控制系统，以应对当前临床中尚未满足的重要医疗需求。</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5、日本首艘氢燃料拖船“Ten-Oh”由常石造船交付并投入使用</w:t>
      </w:r>
    </w:p>
    <w:p>
      <w:pPr>
        <w:pageBreakBefore w:val="0"/>
        <w:widowControl/>
        <w:shd w:val="clear" w:color="auto" w:fill="FFFFFF"/>
        <w:kinsoku/>
        <w:wordWrap/>
        <w:overflowPunct/>
        <w:topLinePunct w:val="0"/>
        <w:autoSpaceDE/>
        <w:autoSpaceDN/>
        <w:bidi w:val="0"/>
        <w:adjustRightInd/>
        <w:snapToGrid/>
        <w:spacing w:beforeAutospacing="0" w:afterAutospacing="0" w:line="500" w:lineRule="exact"/>
        <w:ind w:left="0" w:firstLine="560" w:firstLineChars="200"/>
        <w:jc w:val="both"/>
        <w:textAlignment w:val="auto"/>
        <w:rPr>
          <w:rFonts w:hint="eastAsia" w:ascii="仿宋_GB2312" w:hAnsi="仿宋_GB2312" w:eastAsia="仿宋_GB2312" w:cs="仿宋_GB2312"/>
          <w:color w:val="auto"/>
          <w:kern w:val="0"/>
          <w:sz w:val="28"/>
          <w:szCs w:val="28"/>
          <w:lang w:val="en-US" w:eastAsia="zh-CN" w:bidi="ar-SA"/>
        </w:rPr>
      </w:pPr>
      <w:r>
        <w:rPr>
          <w:rFonts w:hint="eastAsia" w:ascii="仿宋_GB2312" w:hAnsi="仿宋_GB2312" w:eastAsia="仿宋_GB2312" w:cs="仿宋_GB2312"/>
          <w:color w:val="auto"/>
          <w:kern w:val="0"/>
          <w:sz w:val="28"/>
          <w:szCs w:val="28"/>
          <w:lang w:val="en-US" w:eastAsia="zh-CN" w:bidi="ar-SA"/>
        </w:rPr>
        <w:t>2025年10月16日，据Baird Maritime报道，日本首艘氢燃料拖船“Ten-Oh”由常石造船交付并投入使用。该船是日本财团“零二氧化碳排放船舶”项目的重要成果，搭载了由常石与CMB Tech合资企业JPN H2YDRO提供的高功率氢气双燃料发动机及高压储氢系统。其配备的两台4400马力发动机，结合约250公斤的氢气储存，不仅实现了与传统燃料船舶相当的运行性能，更能减少约60%的二氧化碳排放。这艘总吨位近300吨的拖船的投运，标志着日本在船舶脱碳技术研发与应用领域取得了实质性进展，为航运业的绿色转型提供了新的解决方案。</w:t>
      </w:r>
    </w:p>
    <w:p>
      <w:pPr>
        <w:pStyle w:val="1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640" w:lineRule="exact"/>
        <w:ind w:firstLine="720" w:firstLineChars="200"/>
        <w:jc w:val="both"/>
        <w:textAlignment w:val="auto"/>
        <w:rPr>
          <w:rStyle w:val="12"/>
          <w:rFonts w:hint="eastAsia" w:ascii="黑体" w:hAnsi="黑体" w:eastAsia="黑体" w:cs="黑体"/>
          <w:b w:val="0"/>
          <w:bCs w:val="0"/>
          <w:color w:val="auto"/>
          <w:kern w:val="0"/>
          <w:sz w:val="36"/>
          <w:szCs w:val="36"/>
          <w:lang w:val="en-US" w:eastAsia="zh-CN" w:bidi="ar-SA"/>
        </w:rPr>
      </w:pPr>
      <w:r>
        <w:rPr>
          <w:rStyle w:val="12"/>
          <w:rFonts w:hint="eastAsia" w:ascii="黑体" w:hAnsi="黑体" w:eastAsia="黑体" w:cs="黑体"/>
          <w:b w:val="0"/>
          <w:bCs w:val="0"/>
          <w:color w:val="auto"/>
          <w:kern w:val="0"/>
          <w:sz w:val="36"/>
          <w:szCs w:val="36"/>
          <w:lang w:val="en-US" w:eastAsia="zh-CN" w:bidi="ar-SA"/>
        </w:rPr>
        <w:t>二、科技创新政策</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近日，工业和信息化部、人力资源社会保障部、商务部、市场监管总局、国家统计局、国家知识产权局、中国工程院等七部门联合印发</w:t>
      </w:r>
      <w:r>
        <w:rPr>
          <w:rFonts w:hint="eastAsia" w:ascii="仿宋_GB2312" w:hAnsi="仿宋_GB2312" w:eastAsia="仿宋_GB2312" w:cs="仿宋_GB2312"/>
          <w:color w:val="auto"/>
          <w:sz w:val="28"/>
          <w:szCs w:val="28"/>
          <w:u w:color="FFFFFF" w:themeColor="background1"/>
        </w:rPr>
        <w:fldChar w:fldCharType="begin"/>
      </w:r>
      <w:r>
        <w:rPr>
          <w:rFonts w:hint="eastAsia" w:ascii="仿宋_GB2312" w:hAnsi="仿宋_GB2312" w:eastAsia="仿宋_GB2312" w:cs="仿宋_GB2312"/>
          <w:color w:val="auto"/>
          <w:sz w:val="28"/>
          <w:szCs w:val="28"/>
          <w:u w:color="FFFFFF" w:themeColor="background1"/>
        </w:rPr>
        <w:instrText xml:space="preserve"> HYPERLINK "https://www.gov.cn/zhengce/zhengceku/202510/content_7043986.htm" \t "_blank" </w:instrText>
      </w:r>
      <w:r>
        <w:rPr>
          <w:rFonts w:hint="eastAsia" w:ascii="仿宋_GB2312" w:hAnsi="仿宋_GB2312" w:eastAsia="仿宋_GB2312" w:cs="仿宋_GB2312"/>
          <w:color w:val="auto"/>
          <w:sz w:val="28"/>
          <w:szCs w:val="28"/>
          <w:u w:color="FFFFFF" w:themeColor="background1"/>
        </w:rPr>
        <w:fldChar w:fldCharType="separate"/>
      </w:r>
      <w:r>
        <w:rPr>
          <w:rStyle w:val="14"/>
          <w:rFonts w:hint="eastAsia" w:ascii="仿宋_GB2312" w:hAnsi="仿宋_GB2312" w:eastAsia="仿宋_GB2312" w:cs="仿宋_GB2312"/>
          <w:color w:val="auto"/>
          <w:sz w:val="28"/>
          <w:szCs w:val="28"/>
          <w:u w:color="FFFFFF" w:themeColor="background1"/>
        </w:rPr>
        <w:t>《深入推动服务型制造创新发展实施方案（2025—2028年）》</w:t>
      </w:r>
      <w:r>
        <w:rPr>
          <w:rStyle w:val="14"/>
          <w:rFonts w:hint="eastAsia" w:ascii="仿宋_GB2312" w:hAnsi="仿宋_GB2312" w:eastAsia="仿宋_GB2312" w:cs="仿宋_GB2312"/>
          <w:color w:val="auto"/>
          <w:sz w:val="28"/>
          <w:szCs w:val="28"/>
          <w:u w:color="FFFFFF" w:themeColor="background1"/>
        </w:rPr>
        <w:fldChar w:fldCharType="end"/>
      </w:r>
      <w:r>
        <w:rPr>
          <w:rFonts w:hint="eastAsia" w:ascii="仿宋_GB2312" w:hAnsi="仿宋_GB2312" w:eastAsia="仿宋_GB2312" w:cs="仿宋_GB2312"/>
          <w:color w:val="auto"/>
          <w:sz w:val="28"/>
          <w:szCs w:val="28"/>
        </w:rPr>
        <w:t>（以下简称《实施方案》）。为更好理解和落实《实施方案》，现就有关内容解读如下。</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一</w:t>
      </w:r>
      <w:r>
        <w:rPr>
          <w:rStyle w:val="12"/>
          <w:rFonts w:hint="eastAsia" w:ascii="仿宋_GB2312" w:hAnsi="仿宋_GB2312" w:eastAsia="仿宋_GB2312" w:cs="仿宋_GB2312"/>
          <w:color w:val="auto"/>
          <w:sz w:val="28"/>
          <w:szCs w:val="28"/>
        </w:rPr>
        <w:t>、《实施方案》的总体要求是什么？确立了怎样的发展目标？</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实施方案》以习近平新时代中国特色社会主义思想为指导，全面贯彻落实党的二十大和二十届二中、三中全会精神，完整、准确、全面贯彻新发展理念，围绕构建以先进制造业为骨干的现代化产业体系、促进信息化和工业化深度融合，以深化改革为动力，以推动科技创新和产业创新深度融合为引领，坚持应用牵引、创新驱动、融合发展，强化技术创新、模式创新和成果推广应用，增强生产性服务业支撑能力，激发经营主体活力，夯实发展底座，优化产业生态，打造服务型制造升级版，促进先进制造业与现代服务业深度融合，发展壮大新质生产力，塑造制造业发展新动能新优势。</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实施方案》提出发展目标：到2028年，服务型制造在制造业高质量发展中的作用进一步增强。完成20项标准制定，打造50个领军品牌，建设100个创新发展高地，服务型制造典型模式广泛普及、新模式不断涌现，产业生态持续优化，重点领域生产性服务业保持快速发展，制造与服务全方位、宽领域、深层次融合发展格局进一步完善，有力促进制造业优化资源配置、拓展发展新空间、延伸产业链、提升价值链，为建成具有中国特色、世界水平的服务型制造体系奠定坚实基础。</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二</w:t>
      </w:r>
      <w:r>
        <w:rPr>
          <w:rStyle w:val="12"/>
          <w:rFonts w:hint="eastAsia" w:ascii="仿宋_GB2312" w:hAnsi="仿宋_GB2312" w:eastAsia="仿宋_GB2312" w:cs="仿宋_GB2312"/>
          <w:color w:val="auto"/>
          <w:sz w:val="28"/>
          <w:szCs w:val="28"/>
        </w:rPr>
        <w:t>、《实施方案》的主要任务有哪些？</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《实施方案》提出7项主要任务和3项专项行动。</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项主要任务分别是加强关键共性技术攻关和模式创新，发布服务型制造关键共性技术清单，推动共性技术攻关，加快典型模式升级，探索服务型制造新模式；培育壮大重点生产性服务业，发展科技服务业、工业设计、软件和信息服务、生产性金融服务、知识产权服务、节能环保服务、质量技术和质量管理服务等；分类推进服务型制造模式推广应用，分行业分领域推进服务型制造典型模式广泛普及，及时总结提炼推广服务型制造新模式，促进服务要素更大范围更宽领域更深层次融入制造业，促进产业提质增效；推进标准体系建设，加快建设统一融合、先进适用、覆盖全面、协调配套的标准体系；激发经营主体发展活力，积极培育龙头企业、领军品牌、转型方案提供商，构建大中小企业融通发展新格局；打造服务型制造创新发展高地，鼓励高新技术产业开发区、工业园区、产业集群聚焦特色优势产业先行先试，深化体制机制改革，探索一批可复制可推广的经验做法；夯实服务型制造发展底座，加强新型信息基础设施建设，深化“5G+工业互联网”融合应用，按需布局算力基础设施，提升工业数据要素供给，推动人工智能技术与服务型制造融合创新，提升网络和数据安全保障能力。</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3项专项行动分别是开展共享制造培育提升行动，推动建设共享制造平台、共享工厂，开放检验检测资源共享；开展服务型制造企业品牌提升行动，培育打造服务型制造龙头企业和领军品牌，加强品牌评价和宣传推广；开展融合应用场景创新示范行动，打造面向生产需求、消费需求，以及国家重大战略需求的融合应用场景，加强应用推广。</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三</w:t>
      </w:r>
      <w:r>
        <w:rPr>
          <w:rStyle w:val="12"/>
          <w:rFonts w:hint="eastAsia" w:ascii="仿宋_GB2312" w:hAnsi="仿宋_GB2312" w:eastAsia="仿宋_GB2312" w:cs="仿宋_GB2312"/>
          <w:color w:val="auto"/>
          <w:sz w:val="28"/>
          <w:szCs w:val="28"/>
        </w:rPr>
        <w:t>、如何实施共享制造培育提升行动？</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实施共享制造培育提升行动，一是建设共享制造平台，汇聚资源、增强服务功能、提升智能化水平，实现“平台接单、按工序分解、多工厂协同”。二是建设共享工厂，面向园区、集群等共性制造需求，集中配置通用性强、购置成本高的生产设备，满足设计研发、加工制造、检验检测等共性需求。三是开放检验检测资源共享，鼓励有条件的制造企业参与检验检测公共服务平台建设，提升在线化、数字化、智能化检验检测能力。</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四</w:t>
      </w:r>
      <w:r>
        <w:rPr>
          <w:rStyle w:val="12"/>
          <w:rFonts w:hint="eastAsia" w:ascii="仿宋_GB2312" w:hAnsi="仿宋_GB2312" w:eastAsia="仿宋_GB2312" w:cs="仿宋_GB2312"/>
          <w:color w:val="auto"/>
          <w:sz w:val="28"/>
          <w:szCs w:val="28"/>
        </w:rPr>
        <w:t>、如何开展服务型制造品牌提升行动？</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为充分发挥企业主体作用，拟通过开展服务型制造品牌提升行动，培育壮大一批服务型制造龙头企业和领军品牌，在各行业各领域中更好地发挥引领带动作用，营造服务型制造发展的良好氛围。重点面向制造业企业、生产性服务业企业和区域，打造服务型制造品牌。一是支持引导制造企业创新产品和服务形态，提高全生命周期品牌管理运作水平，塑造具有中国特色的服务型制造品牌形象，到2028年培育打造100家服务型制造龙头企业和50个领军品牌。二是探索推进生产性服务业品牌体系建设。三是支持地方立足资源优势、产业特色，打造服务型制造区域品牌。四是加强品牌评价和宣传推广。</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五</w:t>
      </w:r>
      <w:r>
        <w:rPr>
          <w:rStyle w:val="12"/>
          <w:rFonts w:hint="eastAsia" w:ascii="仿宋_GB2312" w:hAnsi="仿宋_GB2312" w:eastAsia="仿宋_GB2312" w:cs="仿宋_GB2312"/>
          <w:color w:val="auto"/>
          <w:sz w:val="28"/>
          <w:szCs w:val="28"/>
        </w:rPr>
        <w:t>、如何开展融合应用场景创新示范行动？</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2025年《政府工作报告》提出，开展新技术新产品新场景大规模应用示范行动。通过开展服务型制造融合应用场景创新示范行动，推动新理念、新技术和新模式的全面落地，形成更多可借鉴、可复制、可推广的典型经验。一是鼓励打造面向生产需求的融合应用场景，重点围绕产品全生命周期各环节，创新工业服务应用场景。二是鼓励打造面向消费需求的融合应用场景，重点围绕衣、食、住、行、健康、文化等方面，打造生活服务应用场景。三是鼓励打造面向国家重大战略需求的融合应用场景，引导政产学研各方通过丰富活动推介形式，加强融合应用场景供给，促进场景供需双方对接合作。四是建立新模式新场景推广平台，发布典型应用场景，加强应用推广。</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六</w:t>
      </w:r>
      <w:r>
        <w:rPr>
          <w:rStyle w:val="12"/>
          <w:rFonts w:hint="eastAsia" w:ascii="仿宋_GB2312" w:hAnsi="仿宋_GB2312" w:eastAsia="仿宋_GB2312" w:cs="仿宋_GB2312"/>
          <w:color w:val="auto"/>
          <w:sz w:val="28"/>
          <w:szCs w:val="28"/>
        </w:rPr>
        <w:t>、如何打造服务型制造创新发展高地？</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为更好聚焦特色优势产业，发挥自主创新优势，深化体制机制改革，探索服务型制造发展新举措，拟打造服务型制造创新发展高地，以省级及以上高新技术产业开发区、工业园区、产业集群为载体，在政策协同、创新应用、主体培育、数智技术攻关、健全生态等方面先行先试，分行业分领域推进服务型制造推广应用，探索一批可复制可推广的经验做法。</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七</w:t>
      </w:r>
      <w:r>
        <w:rPr>
          <w:rStyle w:val="12"/>
          <w:rFonts w:hint="eastAsia" w:ascii="仿宋_GB2312" w:hAnsi="仿宋_GB2312" w:eastAsia="仿宋_GB2312" w:cs="仿宋_GB2312"/>
          <w:color w:val="auto"/>
          <w:sz w:val="28"/>
          <w:szCs w:val="28"/>
        </w:rPr>
        <w:t>、如何加强服务型制造关键共性技术攻关？</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在新一轮数字技术革命和产业变革的驱动下，服务型制造呈现快速发展势头，但仍存在关键共性技术供给能力薄弱等问题，亟需从以下三方面加强服务型制造关键共性技术攻关。一是鼓励加强服务型制造关键共性技术研发，编制发布服务型制造关键共性技术清单。二是鼓励企业加大创新投入，推动融合需求感知、集成研发设计、协同交付部署、智能运营监测管理等共性技术攻关，加强与面向生产制造过程的工业智能技术攻关联动。三是面向重点场景、重点模式，推动攻关成果转化应用和迭代升级。</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2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八</w:t>
      </w:r>
      <w:r>
        <w:rPr>
          <w:rStyle w:val="12"/>
          <w:rFonts w:hint="eastAsia" w:ascii="仿宋_GB2312" w:hAnsi="仿宋_GB2312" w:eastAsia="仿宋_GB2312" w:cs="仿宋_GB2312"/>
          <w:color w:val="auto"/>
          <w:sz w:val="28"/>
          <w:szCs w:val="28"/>
        </w:rPr>
        <w:t>、如何推进服务型制造模式推广应用？</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2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为推动服务型制造典型模式深入发展，加强模式创新，将持续分类推进服务型制造典型模式推广应用。一方面，及时总结提炼服务型制造新模式，鼓励各行业领域分类推进服务型制造典型模式普及应用，促进服务要素更大范围更宽领域更深层次融入制造业，充分发挥服务对制造的赋能作用。另一方面，加快共享制造、个性化定制、全生命周期管理、总集成总承包、供应链管理、远程运维、产品服务集成等典型模式升级，探索模型驱动研发等服务型制造新模式。推动技术创新与模式创新互为支撑、相互促进。</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20" w:lineRule="exact"/>
        <w:ind w:left="0" w:firstLine="562" w:firstLineChars="200"/>
        <w:jc w:val="both"/>
        <w:textAlignment w:val="auto"/>
        <w:rPr>
          <w:rFonts w:hint="eastAsia" w:ascii="仿宋_GB2312" w:hAnsi="仿宋_GB2312" w:eastAsia="仿宋_GB2312" w:cs="仿宋_GB2312"/>
          <w:color w:val="auto"/>
          <w:sz w:val="28"/>
          <w:szCs w:val="28"/>
        </w:rPr>
      </w:pPr>
      <w:r>
        <w:rPr>
          <w:rStyle w:val="12"/>
          <w:rFonts w:hint="eastAsia" w:ascii="仿宋_GB2312" w:hAnsi="仿宋_GB2312" w:eastAsia="仿宋_GB2312" w:cs="仿宋_GB2312"/>
          <w:color w:val="auto"/>
          <w:sz w:val="28"/>
          <w:szCs w:val="28"/>
          <w:lang w:eastAsia="zh-CN"/>
        </w:rPr>
        <w:t>九</w:t>
      </w:r>
      <w:r>
        <w:rPr>
          <w:rStyle w:val="12"/>
          <w:rFonts w:hint="eastAsia" w:ascii="仿宋_GB2312" w:hAnsi="仿宋_GB2312" w:eastAsia="仿宋_GB2312" w:cs="仿宋_GB2312"/>
          <w:color w:val="auto"/>
          <w:sz w:val="28"/>
          <w:szCs w:val="28"/>
        </w:rPr>
        <w:t>、如何培育壮大重点生产性服务业？</w:t>
      </w:r>
    </w:p>
    <w:p>
      <w:pPr>
        <w:pStyle w:val="8"/>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20" w:lineRule="exact"/>
        <w:ind w:left="0"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生产性服务业为服务型制造提供技术研发、设计、信息、金融等多方面的支持，要加大政策支持，优化产业发展生态，积极发展科技服务业、工业设计、软件和信息服务、生产性金融服务、知识产权服务、节能环保服务、物流服务、咨询服务、售后服务、人力资源服务等重点生产性服务业，为企业技术创新、生产经营、品牌打造等提供专业化服务。</w:t>
      </w:r>
    </w:p>
    <w:p>
      <w:pPr>
        <w:pStyle w:val="1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20" w:lineRule="exact"/>
        <w:ind w:leftChars="200"/>
        <w:jc w:val="both"/>
        <w:textAlignment w:val="auto"/>
        <w:outlineLvl w:val="0"/>
        <w:rPr>
          <w:rFonts w:hint="eastAsia" w:ascii="黑体" w:hAnsi="黑体" w:eastAsia="黑体" w:cs="黑体"/>
          <w:b w:val="0"/>
          <w:bCs w:val="0"/>
          <w:color w:val="auto"/>
          <w:kern w:val="36"/>
          <w:sz w:val="36"/>
          <w:szCs w:val="36"/>
        </w:rPr>
      </w:pPr>
      <w:bookmarkStart w:id="2" w:name="OLE_LINK3"/>
      <w:bookmarkStart w:id="3" w:name="OLE_LINK4"/>
      <w:r>
        <w:rPr>
          <w:rFonts w:hint="eastAsia" w:ascii="黑体" w:hAnsi="黑体" w:eastAsia="黑体" w:cs="黑体"/>
          <w:b w:val="0"/>
          <w:bCs w:val="0"/>
          <w:color w:val="auto"/>
          <w:kern w:val="36"/>
          <w:sz w:val="36"/>
          <w:szCs w:val="36"/>
          <w:lang w:val="en-US" w:eastAsia="zh-CN"/>
        </w:rPr>
        <w:t>三、</w:t>
      </w:r>
      <w:r>
        <w:rPr>
          <w:rFonts w:hint="eastAsia" w:ascii="黑体" w:hAnsi="黑体" w:eastAsia="黑体" w:cs="黑体"/>
          <w:b w:val="0"/>
          <w:bCs w:val="0"/>
          <w:color w:val="auto"/>
          <w:kern w:val="36"/>
          <w:sz w:val="36"/>
          <w:szCs w:val="36"/>
        </w:rPr>
        <w:t>产业前沿科技</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1、人形机器人史上首个百米“飞人”诞生</w:t>
      </w:r>
    </w:p>
    <w:p>
      <w:pPr>
        <w:pStyle w:val="1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0"/>
          <w:sz w:val="28"/>
          <w:szCs w:val="28"/>
          <w:lang w:val="en-US" w:eastAsia="zh-CN" w:bidi="ar-SA"/>
        </w:rPr>
      </w:pPr>
      <w:r>
        <w:rPr>
          <w:rFonts w:hint="eastAsia" w:ascii="仿宋_GB2312" w:hAnsi="仿宋_GB2312" w:eastAsia="仿宋_GB2312" w:cs="仿宋_GB2312"/>
          <w:color w:val="auto"/>
          <w:kern w:val="0"/>
          <w:sz w:val="28"/>
          <w:szCs w:val="28"/>
          <w:lang w:val="en-US" w:eastAsia="zh-CN" w:bidi="ar-SA"/>
        </w:rPr>
        <w:t>据《黑龙江日报》8 月 17 日消息，2025 世界人形机器人运动会 100 米决赛收官，北京人形机器人创新中心的具身天工 Ultra 以21.50 秒的成绩获得冠军。具身天工 Ultra 是全场所有选手中唯一</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0"/>
          <w:sz w:val="28"/>
          <w:szCs w:val="28"/>
          <w:lang w:val="en-US" w:eastAsia="zh-CN" w:bidi="ar-SA"/>
        </w:rPr>
      </w:pPr>
      <w:r>
        <w:rPr>
          <w:rFonts w:hint="eastAsia" w:ascii="仿宋_GB2312" w:hAnsi="仿宋_GB2312" w:eastAsia="仿宋_GB2312" w:cs="仿宋_GB2312"/>
          <w:color w:val="auto"/>
          <w:kern w:val="0"/>
          <w:sz w:val="28"/>
          <w:szCs w:val="28"/>
          <w:lang w:val="en-US" w:eastAsia="zh-CN" w:bidi="ar-SA"/>
        </w:rPr>
        <w:t>采用全自主导航系统的机器人，全程无需人工遥控。这是具身天工 Ultra 继机器人马拉松大赛采用UWB 半自主导航后的又一重磅升级，实现了复杂动态环境下实时环境理解与自主运动规划。</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2、多家机器人企业在2025世界机器人大会展示最新技术成果</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0"/>
          <w:sz w:val="28"/>
          <w:szCs w:val="28"/>
          <w:lang w:val="en-US" w:eastAsia="zh-CN" w:bidi="ar-SA"/>
        </w:rPr>
      </w:pPr>
      <w:r>
        <w:rPr>
          <w:rFonts w:hint="eastAsia" w:ascii="仿宋_GB2312" w:hAnsi="仿宋_GB2312" w:eastAsia="仿宋_GB2312" w:cs="仿宋_GB2312"/>
          <w:color w:val="auto"/>
          <w:kern w:val="0"/>
          <w:sz w:val="28"/>
          <w:szCs w:val="28"/>
          <w:lang w:val="en-US" w:eastAsia="zh-CN" w:bidi="ar-SA"/>
        </w:rPr>
        <w:t>据36氪8月9日消息，在2025世界机器人大会上，众多机器人企业展示了最新技术成果。如宇树科技的人形机器人进行格斗赛，乐聚的全球首款5G-A人形机器人“夸父”展示了自然对话响应、全自主作业等多种能力，众擎机器人的机器人化身模特上演T台走秀，其PM01人形机器人还进行了短跑，逐际动力的LimXOli人形机器人表演了民族舞和中国功夫等。</w:t>
      </w:r>
    </w:p>
    <w:p>
      <w:pPr>
        <w:pStyle w:val="8"/>
        <w:pageBreakBefore w:val="0"/>
        <w:shd w:val="clear" w:color="auto" w:fill="FFFFFF"/>
        <w:kinsoku/>
        <w:wordWrap/>
        <w:overflowPunct/>
        <w:topLinePunct w:val="0"/>
        <w:autoSpaceDE/>
        <w:autoSpaceDN/>
        <w:bidi w:val="0"/>
        <w:adjustRightInd/>
        <w:snapToGrid/>
        <w:spacing w:before="0" w:beforeAutospacing="0" w:after="0" w:afterAutospacing="0" w:line="500" w:lineRule="exact"/>
        <w:ind w:left="0" w:firstLine="562" w:firstLineChars="200"/>
        <w:jc w:val="both"/>
        <w:textAlignment w:val="auto"/>
        <w:rPr>
          <w:rFonts w:hint="eastAsia" w:ascii="仿宋_GB2312" w:hAnsi="仿宋_GB2312" w:eastAsia="仿宋_GB2312" w:cs="仿宋_GB2312"/>
          <w:b/>
          <w:bCs/>
          <w:color w:val="auto"/>
          <w:kern w:val="36"/>
          <w:sz w:val="28"/>
          <w:szCs w:val="28"/>
          <w:lang w:val="en-US" w:eastAsia="zh-CN" w:bidi="ar-SA"/>
        </w:rPr>
      </w:pPr>
      <w:r>
        <w:rPr>
          <w:rFonts w:hint="eastAsia" w:ascii="仿宋_GB2312" w:hAnsi="仿宋_GB2312" w:eastAsia="仿宋_GB2312" w:cs="仿宋_GB2312"/>
          <w:b/>
          <w:bCs/>
          <w:color w:val="auto"/>
          <w:kern w:val="36"/>
          <w:sz w:val="28"/>
          <w:szCs w:val="28"/>
          <w:lang w:val="en-US" w:eastAsia="zh-CN" w:bidi="ar-SA"/>
        </w:rPr>
        <w:t>3、广和通：发布新一代具身智能开发平台 Fibot</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0"/>
          <w:sz w:val="28"/>
          <w:szCs w:val="28"/>
          <w:lang w:val="en-US" w:eastAsia="zh-CN" w:bidi="ar-SA"/>
        </w:rPr>
      </w:pPr>
      <w:r>
        <w:rPr>
          <w:rFonts w:hint="eastAsia" w:ascii="仿宋_GB2312" w:hAnsi="仿宋_GB2312" w:eastAsia="仿宋_GB2312" w:cs="仿宋_GB2312"/>
          <w:color w:val="auto"/>
          <w:kern w:val="0"/>
          <w:sz w:val="28"/>
          <w:szCs w:val="28"/>
          <w:lang w:val="en-US" w:eastAsia="zh-CN" w:bidi="ar-SA"/>
        </w:rPr>
        <w:t>据全球TMT8月28日消息，全球领先的无线通信与AI 解决方案提供商广和通发布新一代具身智能开发平台 Fibot。Fibot 已成功应用于Physical Intelligence（π公司）最新通用视觉-语言-动作（VLA）模型π0.5的数据采集工作，标志着广和通在具身智能领域重要的产品突破。</w:t>
      </w:r>
    </w:p>
    <w:p>
      <w:pPr>
        <w:pStyle w:val="1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20" w:lineRule="exact"/>
        <w:ind w:leftChars="200"/>
        <w:jc w:val="both"/>
        <w:textAlignment w:val="auto"/>
        <w:outlineLvl w:val="0"/>
        <w:rPr>
          <w:rFonts w:hint="eastAsia" w:ascii="黑体" w:hAnsi="黑体" w:eastAsia="黑体" w:cs="黑体"/>
          <w:b w:val="0"/>
          <w:bCs w:val="0"/>
          <w:color w:val="auto"/>
          <w:kern w:val="36"/>
          <w:sz w:val="36"/>
          <w:szCs w:val="36"/>
        </w:rPr>
      </w:pPr>
      <w:r>
        <w:rPr>
          <w:rFonts w:hint="eastAsia" w:ascii="黑体" w:hAnsi="黑体" w:eastAsia="黑体" w:cs="黑体"/>
          <w:b w:val="0"/>
          <w:bCs w:val="0"/>
          <w:color w:val="auto"/>
          <w:kern w:val="36"/>
          <w:sz w:val="36"/>
          <w:szCs w:val="36"/>
          <w:lang w:val="en-US" w:eastAsia="zh-CN"/>
        </w:rPr>
        <w:t>四、</w:t>
      </w:r>
      <w:r>
        <w:rPr>
          <w:rFonts w:hint="eastAsia" w:ascii="黑体" w:hAnsi="黑体" w:eastAsia="黑体" w:cs="黑体"/>
          <w:b w:val="0"/>
          <w:bCs w:val="0"/>
          <w:color w:val="auto"/>
          <w:kern w:val="36"/>
          <w:sz w:val="36"/>
          <w:szCs w:val="36"/>
        </w:rPr>
        <w:t>科普知识</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2"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b/>
          <w:bCs/>
          <w:color w:val="auto"/>
          <w:kern w:val="36"/>
          <w:sz w:val="28"/>
          <w:szCs w:val="28"/>
        </w:rPr>
        <w:t>杨振宁究竟有多伟大？</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中国科学院院士、诺贝尔物理学奖获得者、理论物理学家杨振宁先生，于2025年10月18日逝世，享年103岁。</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杨振宁先生1922年10月1日生于安徽合肥三河镇，原籍安徽凤阳。其父是著名数学家杨武之，早年留学美国，后任清华大学数学系教授。</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杨振宁自幼时起，就展现出了过人的学习天赋，四岁时母亲开始教他识字，一年多时间便掌握了三千个汉字。童年时期的杨振宁数学和语文成绩都极为优异。</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1933年，杨振宁进入北平崇德中学就读。正是在这所中学的小图书馆里，他第一次接触到了二十世纪的物理学。通过阅读金斯的《神秘的宇宙》中译本，杨振宁对狭义相对论、广义相对论和量子力学产生了浓厚的兴趣，这次偶然的阅读经历成为他走向物理学道路的重要启蒙。</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1937年抗日战争爆发，杨振宁随家人经历了漫长而困苦的逃难旅程，于1938年春抵达昆明。由于战时的特殊情况，教育部允许中学未毕业的学生以同等学力参加大学入学考试。十六岁的杨振宁就是在这样的背景下，成为西南联合大学第一届新生。</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杨振宁最初遵从父命选择了化学系，但他在自学高中物理教科书准备入学考试时，发现更热衷于物理学。</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开学后不久，他便征得理学院院长吴有训教授的同意，转入物理学系。</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杨振宁伟大的一生，自此开启。</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1942年，杨振宁以英文论文《群论与多原子分子的振动》获得西南联大理学学士学位，指导教师是著名物理学家吴大猷教授。随后他进入西南联大研究院继续深造，在王竹溪教授指导下研究统计物理学。1944年，他以《超晶格统计理论探究》获得清华大学研究院理学硕士学位。</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1945年，杨振宁考取庚子赔款奖学金赴美留学，进入芝加哥大学攻读博士学位。在这里，他受到了费米等物理学大师的深刻影响，在导师泰勒的指导下于1948年获得物理学博士学位。</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1949年，杨振宁进入普林斯顿高等研究院进行博士后研究工作，开始了与李政道的合作，这一合作将在物理学史上留下浓墨重彩的一笔。</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60" w:firstLineChars="200"/>
        <w:jc w:val="both"/>
        <w:textAlignment w:val="auto"/>
        <w:outlineLvl w:val="0"/>
        <w:rPr>
          <w:rFonts w:hint="eastAsia" w:ascii="仿宋_GB2312" w:hAnsi="仿宋_GB2312" w:eastAsia="仿宋_GB2312" w:cs="仿宋_GB2312"/>
          <w:color w:val="auto"/>
          <w:kern w:val="36"/>
          <w:sz w:val="28"/>
          <w:szCs w:val="28"/>
        </w:rPr>
      </w:pPr>
      <w:r>
        <w:rPr>
          <w:rFonts w:hint="eastAsia" w:ascii="仿宋_GB2312" w:hAnsi="仿宋_GB2312" w:eastAsia="仿宋_GB2312" w:cs="仿宋_GB2312"/>
          <w:color w:val="auto"/>
          <w:kern w:val="36"/>
          <w:sz w:val="28"/>
          <w:szCs w:val="28"/>
        </w:rPr>
        <w:t>杨振宁在物理学领域的研究涵盖统计力学、凝聚态物理、粒子物理和场论等多个分支。杨振宁的工作不仅推动了理论物理学的发展，更为现代物理学的基础理论体系做出了里程碑式的贡献。</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84" w:firstLineChars="200"/>
        <w:jc w:val="both"/>
        <w:textAlignment w:val="auto"/>
        <w:outlineLvl w:val="0"/>
        <w:rPr>
          <w:rFonts w:hint="eastAsia" w:ascii="仿宋_GB2312" w:hAnsi="仿宋_GB2312" w:eastAsia="仿宋_GB2312" w:cs="仿宋_GB2312"/>
          <w:color w:val="auto"/>
          <w:spacing w:val="6"/>
          <w:kern w:val="36"/>
          <w:sz w:val="28"/>
          <w:szCs w:val="28"/>
        </w:rPr>
      </w:pPr>
      <w:r>
        <w:rPr>
          <w:rFonts w:hint="eastAsia" w:ascii="仿宋_GB2312" w:hAnsi="仿宋_GB2312" w:eastAsia="仿宋_GB2312" w:cs="仿宋_GB2312"/>
          <w:color w:val="auto"/>
          <w:spacing w:val="6"/>
          <w:kern w:val="36"/>
          <w:sz w:val="28"/>
          <w:szCs w:val="28"/>
        </w:rPr>
        <w:t>杨振宁在1952年成功地从昂萨格的复杂数学表达式中提取出了自发磁化强度的精确公式。虽然这听起来并没有什么，但在数学上却是极其困难的。因为昂萨格的解答包含了复杂的积分和无穷级数，要从中提取出自发磁化强度，是一件非常困难的事情。</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84" w:firstLineChars="200"/>
        <w:jc w:val="both"/>
        <w:textAlignment w:val="auto"/>
        <w:outlineLvl w:val="0"/>
        <w:rPr>
          <w:rFonts w:hint="eastAsia" w:ascii="仿宋_GB2312" w:hAnsi="仿宋_GB2312" w:eastAsia="仿宋_GB2312" w:cs="仿宋_GB2312"/>
          <w:color w:val="auto"/>
          <w:spacing w:val="6"/>
          <w:kern w:val="36"/>
          <w:sz w:val="28"/>
          <w:szCs w:val="28"/>
        </w:rPr>
      </w:pPr>
      <w:r>
        <w:rPr>
          <w:rFonts w:hint="eastAsia" w:ascii="仿宋_GB2312" w:hAnsi="仿宋_GB2312" w:eastAsia="仿宋_GB2312" w:cs="仿宋_GB2312"/>
          <w:color w:val="auto"/>
          <w:spacing w:val="6"/>
          <w:kern w:val="36"/>
          <w:sz w:val="28"/>
          <w:szCs w:val="28"/>
        </w:rPr>
        <w:t>该论文发表之后，吸引到了一位物理学巨擘的关注——爱因斯坦。他立即派遣他的助手考夫曼来请杨振宁去见他。</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ind w:left="0" w:firstLine="584" w:firstLineChars="200"/>
        <w:jc w:val="both"/>
        <w:textAlignment w:val="auto"/>
        <w:outlineLvl w:val="0"/>
        <w:rPr>
          <w:rFonts w:hint="eastAsia" w:ascii="仿宋_GB2312" w:hAnsi="仿宋_GB2312" w:eastAsia="仿宋_GB2312" w:cs="仿宋_GB2312"/>
          <w:color w:val="auto"/>
          <w:spacing w:val="6"/>
          <w:kern w:val="36"/>
          <w:sz w:val="28"/>
          <w:szCs w:val="28"/>
        </w:rPr>
      </w:pPr>
      <w:r>
        <w:rPr>
          <w:rFonts w:hint="eastAsia" w:ascii="仿宋_GB2312" w:hAnsi="仿宋_GB2312" w:eastAsia="仿宋_GB2312" w:cs="仿宋_GB2312"/>
          <w:color w:val="auto"/>
          <w:spacing w:val="6"/>
          <w:kern w:val="36"/>
          <w:sz w:val="28"/>
          <w:szCs w:val="28"/>
        </w:rPr>
        <w:t>杨振宁很坦诚，他回忆起这次见面时表示，由于自己太紧张，</w:t>
      </w:r>
    </w:p>
    <w:p>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20" w:lineRule="exact"/>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auto"/>
          <w:spacing w:val="6"/>
          <w:kern w:val="36"/>
          <w:sz w:val="28"/>
          <w:szCs w:val="28"/>
        </w:rPr>
        <w:t>再加上爱因斯坦用了很多他不懂的德文，所以其实 “没有得到什么智</w:t>
      </w:r>
      <w:r>
        <w:rPr>
          <w:rFonts w:hint="eastAsia" w:ascii="仿宋_GB2312" w:hAnsi="仿宋_GB2312" w:eastAsia="仿宋_GB2312" w:cs="仿宋_GB2312"/>
          <w:color w:val="auto"/>
          <w:kern w:val="36"/>
          <w:sz w:val="28"/>
          <w:szCs w:val="28"/>
        </w:rPr>
        <w:t>慧”。</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 w:hAnsi="仿宋" w:eastAsia="仿宋" w:cs="宋体"/>
          <w:color w:val="333333"/>
          <w:kern w:val="36"/>
          <w:sz w:val="32"/>
          <w:szCs w:val="32"/>
        </w:rPr>
        <w:drawing>
          <wp:anchor distT="0" distB="0" distL="0" distR="0" simplePos="0" relativeHeight="251661312" behindDoc="0" locked="0" layoutInCell="1" allowOverlap="1">
            <wp:simplePos x="0" y="0"/>
            <wp:positionH relativeFrom="column">
              <wp:posOffset>-76835</wp:posOffset>
            </wp:positionH>
            <wp:positionV relativeFrom="paragraph">
              <wp:posOffset>149860</wp:posOffset>
            </wp:positionV>
            <wp:extent cx="5450205" cy="2874010"/>
            <wp:effectExtent l="0" t="0" r="17145" b="2540"/>
            <wp:wrapNone/>
            <wp:docPr id="1" name="图片 1" descr="https://image.thepaper.cn/image/360/626/826.jp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https://image.thepaper.cn/image/360/626/826.jpg"/>
                    <pic:cNvPicPr>
                      <a:picLocks noChangeAspect="true" noChangeArrowheads="true"/>
                    </pic:cNvPicPr>
                  </pic:nvPicPr>
                  <pic:blipFill>
                    <a:blip r:embed="rId15" cstate="print"/>
                    <a:srcRect/>
                    <a:stretch>
                      <a:fillRect/>
                    </a:stretch>
                  </pic:blipFill>
                  <pic:spPr>
                    <a:xfrm>
                      <a:off x="0" y="0"/>
                      <a:ext cx="5450205" cy="2874010"/>
                    </a:xfrm>
                    <a:prstGeom prst="rect">
                      <a:avLst/>
                    </a:prstGeom>
                    <a:noFill/>
                    <a:ln w="9525">
                      <a:noFill/>
                      <a:miter lim="800000"/>
                      <a:headEnd/>
                      <a:tailEnd/>
                    </a:ln>
                  </pic:spPr>
                </pic:pic>
              </a:graphicData>
            </a:graphic>
          </wp:anchor>
        </w:drawing>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然而，杨振宁最为人所知的成就是他在粒子物理学方面的突破性工作。1956年，杨振宁与李政道共同提出了弱相互作用中宇称不守恒的理论。在此之前，物理学家普遍认为宇称在所有基本相互作用中都是守恒的，这被视为自然界的基本对称性之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宇称是物理学中描述空间反射对称性的概念，简单来说就是镜像对称。</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这是一个很反常识的研究，在普遍认知里，人站在镜子前面举左手，镜子里的人举起右手，则是宇称守恒。但是宇称不守恒，就是在镜子中，出现了别样的情况。</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这个研究，是探索宇宙起源的重要依据之一。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宇宙大爆炸初期本应产生等量的正物质与反物质，但它们相遇会湮灭为能量。而正是由于宇称不守恒，才导致了正、反物质的衰变行为存在微小差异，最终让正物质少量 “过剩”，形成了如今的恒星、行星乃至人类。整个过程被称为 “重子数起源”。</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杨振宁和李政道通过深入的理论分析，大胆提出宇称在弱相互作用中可能不守恒，这一假设随后被吴健雄的实验所证实。</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由于这一开创性贡献，杨振宁与李政道共同获得了1957年的诺贝尔物理学奖，完全授予了杨振宁和李政道二人，以表彰他们“对所谓宇称定律的深入研究，特别是导致有关基本粒子重要发现的研究”。</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但是，许多物理学家认为，杨振宁更大的贡献是他在1954年与罗伯特·米尔斯共同提出的杨-米尔斯规范场论。这一理论是现代规范场论和粒子物理标准模型的基础，它为理解基本粒子之间的相互作用提供了统一的理论框架。</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规范场理论的核心思想是，自然界的基本相互作用可以通过规范对称性来描述。这种对称性要求物理定律在某种变换下保持不变，而这种变换就是规范变换。</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举例来说，就像我们可以用摄氏度或华氏度来测量温度，虽然数字不同，但水在100摄氏度和212华氏度时都会沸腾，这个物理事实不会改变。规范变换就类似于在摄氏度和华氏度之间转换，而规范对称性要求无论用哪种“温度计”，物理定律都应该保持相同的形式。</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lang w:eastAsia="zh-CN"/>
        </w:rPr>
      </w:pPr>
      <w:r>
        <w:rPr>
          <w:rFonts w:hint="eastAsia" w:ascii="仿宋_GB2312" w:hAnsi="仿宋_GB2312" w:eastAsia="仿宋_GB2312" w:cs="仿宋_GB2312"/>
          <w:color w:val="333333"/>
          <w:kern w:val="36"/>
          <w:sz w:val="28"/>
          <w:szCs w:val="28"/>
        </w:rPr>
        <w:t>杨振宁的科学成就得到了国际学术界的广泛认可。除了诺贝尔物理学奖外，他还获得了费米奖、沃尔夫奖、美国国家科学奖章等众多重要奖项。他是中国科学院院士、美国国家科学院院士、英国皇家学会会员、台湾中央研究院院士等多个学术机构的成员。</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2015年，杨振宁毅然放弃美国国籍，回到祖国定居清华大学。他不仅在清华大学高等研究院担任教授，同时也担任清华大学高等研究院名誉院长。还亲自为本科生讲授物理课程，体现了一位大师对教育事业的热忱。</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2016年，杨振宁从中国科学院外籍院士转为中国科学院院士。</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杨振宁为清华高研院累计筹措资金超过一亿元，为吸引和培养中国顶尖科学人才倾尽心血。他的回国不仅是个人选择，更体现了深深的爱国情怀。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作为一位跨世纪的伟大物理学家，杨振宁见证了现代物理学的发展历程，也参与塑造了这一历程。他的科学成就不仅推动了人类对自然界的认识，更为后续的科学技术发展奠定了基础。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从量子理论到计算机技术，从半导体到通信技术，杨振宁的理论贡献都在其中发挥着重要作用。</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杨振宁的一生是献身科学的一生，是追求真理的一生，也是心系祖国的一生。</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回顾杨振宁的一生，我们看到的是一位真正的科学巨匠。他的科学成就将永远载入人类文明史册，他的精神品格将继续激励后人。</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jc w:val="both"/>
        <w:textAlignment w:val="auto"/>
        <w:outlineLvl w:val="0"/>
        <w:rPr>
          <w:rFonts w:hint="eastAsia" w:ascii="仿宋_GB2312" w:hAnsi="仿宋_GB2312" w:eastAsia="仿宋_GB2312" w:cs="仿宋_GB2312"/>
          <w:color w:val="333333"/>
          <w:kern w:val="36"/>
          <w:sz w:val="28"/>
          <w:szCs w:val="28"/>
        </w:rPr>
      </w:pPr>
      <w:r>
        <w:rPr>
          <w:rFonts w:hint="eastAsia" w:ascii="仿宋_GB2312" w:hAnsi="仿宋_GB2312" w:eastAsia="仿宋_GB2312" w:cs="仿宋_GB2312"/>
          <w:color w:val="333333"/>
          <w:kern w:val="36"/>
          <w:sz w:val="28"/>
          <w:szCs w:val="28"/>
        </w:rPr>
        <w:t>杨振宁先生的逝世是中国科学界和国际物理学界的重大损失。他留给我们的不仅是丰富的科学遗产，更是宝贵的精神财富。他用自己的一生诠释了什么是科学精神，什么是爱国情怀，什么是人生价值。他的名字将与牛顿、爱因斯坦等伟大科学家一起，永远闪耀在科学的星空中。</w:t>
      </w:r>
    </w:p>
    <w:p>
      <w:pPr>
        <w:pStyle w:val="15"/>
        <w:widowControl/>
        <w:shd w:val="clear" w:color="auto" w:fill="FFFFFF"/>
        <w:spacing w:line="840" w:lineRule="atLeast"/>
        <w:ind w:left="0" w:leftChars="0" w:firstLine="0" w:firstLineChars="0"/>
        <w:outlineLvl w:val="0"/>
        <w:rPr>
          <w:rFonts w:ascii="仿宋" w:hAnsi="仿宋" w:eastAsia="仿宋" w:cs="宋体"/>
          <w:color w:val="333333"/>
          <w:kern w:val="36"/>
          <w:sz w:val="32"/>
          <w:szCs w:val="32"/>
        </w:rPr>
      </w:pPr>
    </w:p>
    <w:bookmarkEnd w:id="2"/>
    <w:bookmarkEnd w:id="3"/>
    <w:p>
      <w:pPr>
        <w:keepNext w:val="0"/>
        <w:keepLines w:val="0"/>
        <w:pageBreakBefore w:val="0"/>
        <w:widowControl w:val="0"/>
        <w:kinsoku/>
        <w:wordWrap/>
        <w:overflowPunct/>
        <w:topLinePunct w:val="0"/>
        <w:autoSpaceDE/>
        <w:autoSpaceDN/>
        <w:bidi w:val="0"/>
        <w:adjustRightInd/>
        <w:snapToGrid/>
        <w:spacing w:line="560" w:lineRule="exact"/>
        <w:ind w:firstLine="1120" w:firstLineChars="400"/>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承办：周口市科技情报研究</w:t>
      </w:r>
      <w:r>
        <w:rPr>
          <w:rFonts w:hint="eastAsia" w:ascii="仿宋_GB2312" w:hAnsi="仿宋_GB2312" w:eastAsia="仿宋_GB2312" w:cs="仿宋_GB2312"/>
          <w:b w:val="0"/>
          <w:bCs/>
          <w:sz w:val="28"/>
          <w:szCs w:val="28"/>
          <w:lang w:eastAsia="zh-CN"/>
        </w:rPr>
        <w:t>中心</w:t>
      </w:r>
      <w:r>
        <w:rPr>
          <w:rFonts w:hint="eastAsia" w:ascii="仿宋_GB2312" w:hAnsi="仿宋_GB2312" w:eastAsia="仿宋_GB2312" w:cs="仿宋_GB2312"/>
          <w:b w:val="0"/>
          <w:bCs/>
          <w:sz w:val="28"/>
          <w:szCs w:val="28"/>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120" w:firstLineChars="400"/>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电话：0394-8237737</w:t>
      </w:r>
    </w:p>
    <w:p>
      <w:pPr>
        <w:keepNext w:val="0"/>
        <w:keepLines w:val="0"/>
        <w:pageBreakBefore w:val="0"/>
        <w:widowControl w:val="0"/>
        <w:kinsoku/>
        <w:wordWrap/>
        <w:overflowPunct/>
        <w:topLinePunct w:val="0"/>
        <w:autoSpaceDE/>
        <w:autoSpaceDN/>
        <w:bidi w:val="0"/>
        <w:adjustRightInd/>
        <w:snapToGrid/>
        <w:spacing w:line="560" w:lineRule="exact"/>
        <w:ind w:firstLine="1120" w:firstLineChars="400"/>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 xml:space="preserve">地址：周口市文昌大道招商大厦   </w:t>
      </w:r>
    </w:p>
    <w:p>
      <w:pPr>
        <w:keepNext w:val="0"/>
        <w:keepLines w:val="0"/>
        <w:pageBreakBefore w:val="0"/>
        <w:widowControl w:val="0"/>
        <w:kinsoku/>
        <w:wordWrap/>
        <w:overflowPunct/>
        <w:topLinePunct w:val="0"/>
        <w:autoSpaceDE/>
        <w:autoSpaceDN/>
        <w:bidi w:val="0"/>
        <w:adjustRightInd/>
        <w:snapToGrid/>
        <w:spacing w:line="560" w:lineRule="exact"/>
        <w:ind w:firstLine="1120" w:firstLineChars="400"/>
        <w:textAlignment w:val="auto"/>
        <w:rPr>
          <w:rFonts w:hint="default" w:ascii="Times New Roman" w:hAnsi="Times New Roman" w:cs="Times New Roman"/>
          <w:b/>
          <w:sz w:val="32"/>
          <w:szCs w:val="32"/>
          <w:lang w:val="en-US" w:eastAsia="zh-CN"/>
        </w:rPr>
      </w:pPr>
      <w:r>
        <w:rPr>
          <w:rFonts w:hint="eastAsia" w:ascii="仿宋_GB2312" w:hAnsi="仿宋_GB2312" w:eastAsia="仿宋_GB2312" w:cs="仿宋_GB2312"/>
          <w:b w:val="0"/>
          <w:bCs/>
          <w:sz w:val="28"/>
          <w:szCs w:val="28"/>
        </w:rPr>
        <w:t>网址：</w:t>
      </w:r>
      <w:r>
        <w:rPr>
          <w:rFonts w:hint="eastAsia" w:ascii="仿宋_GB2312" w:hAnsi="仿宋_GB2312" w:eastAsia="仿宋_GB2312" w:cs="仿宋_GB2312"/>
          <w:b w:val="0"/>
          <w:bCs/>
          <w:sz w:val="28"/>
          <w:szCs w:val="28"/>
        </w:rPr>
        <w:fldChar w:fldCharType="begin"/>
      </w:r>
      <w:r>
        <w:rPr>
          <w:rFonts w:hint="eastAsia" w:ascii="仿宋_GB2312" w:hAnsi="仿宋_GB2312" w:eastAsia="仿宋_GB2312" w:cs="仿宋_GB2312"/>
          <w:b w:val="0"/>
          <w:bCs/>
          <w:sz w:val="28"/>
          <w:szCs w:val="28"/>
        </w:rPr>
        <w:instrText xml:space="preserve"> HYPERLINK "http://kjj.zhoukou.gov.cn" </w:instrText>
      </w:r>
      <w:r>
        <w:rPr>
          <w:rFonts w:hint="eastAsia" w:ascii="仿宋_GB2312" w:hAnsi="仿宋_GB2312" w:eastAsia="仿宋_GB2312" w:cs="仿宋_GB2312"/>
          <w:b w:val="0"/>
          <w:bCs/>
          <w:sz w:val="28"/>
          <w:szCs w:val="28"/>
        </w:rPr>
        <w:fldChar w:fldCharType="separate"/>
      </w:r>
      <w:r>
        <w:rPr>
          <w:rStyle w:val="13"/>
          <w:rFonts w:hint="eastAsia" w:ascii="仿宋_GB2312" w:hAnsi="仿宋_GB2312" w:eastAsia="仿宋_GB2312" w:cs="仿宋_GB2312"/>
          <w:b w:val="0"/>
          <w:bCs/>
          <w:sz w:val="28"/>
          <w:szCs w:val="28"/>
        </w:rPr>
        <w:t>http://kjj.zhoukou.gov.cn</w:t>
      </w:r>
      <w:r>
        <w:rPr>
          <w:rFonts w:hint="eastAsia" w:ascii="仿宋_GB2312" w:hAnsi="仿宋_GB2312" w:eastAsia="仿宋_GB2312" w:cs="仿宋_GB2312"/>
          <w:b w:val="0"/>
          <w:bCs/>
          <w:sz w:val="28"/>
          <w:szCs w:val="28"/>
        </w:rPr>
        <w:fldChar w:fldCharType="end"/>
      </w:r>
    </w:p>
    <w:sectPr>
      <w:headerReference r:id="rId9" w:type="first"/>
      <w:footerReference r:id="rId11" w:type="first"/>
      <w:headerReference r:id="rId8" w:type="default"/>
      <w:footerReference r:id="rId10" w:type="default"/>
      <w:pgSz w:w="11906" w:h="16838"/>
      <w:pgMar w:top="1440" w:right="1800" w:bottom="1440" w:left="1800" w:header="851" w:footer="992" w:gutter="0"/>
      <w:pgNumType w:fmt="decimal"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2000000" w:usb3="00000000" w:csb0="2000019F" w:csb1="00000000"/>
  </w:font>
  <w:font w:name="PMingLiU">
    <w:altName w:val="Droid Sans Fallback"/>
    <w:panose1 w:val="02020500000000000000"/>
    <w:charset w:val="88"/>
    <w:family w:val="roman"/>
    <w:pitch w:val="default"/>
    <w:sig w:usb0="00000000" w:usb1="00000000" w:usb2="00000016" w:usb3="00000000" w:csb0="0010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FreeSerif">
    <w:panose1 w:val="02020603050405020304"/>
    <w:charset w:val="00"/>
    <w:family w:val="auto"/>
    <w:pitch w:val="default"/>
    <w:sig w:usb0="E59FAFFF" w:usb1="C200FDFF" w:usb2="43501B29" w:usb3="04000043" w:csb0="600101FF" w:csb1="FFFF0000"/>
  </w:font>
  <w:font w:name="Droid Sans Fallback">
    <w:panose1 w:val="020B0502000000000001"/>
    <w:charset w:val="86"/>
    <w:family w:val="auto"/>
    <w:pitch w:val="default"/>
    <w:sig w:usb0="910002FF" w:usb1="2BDFFCFB" w:usb2="00000036" w:usb3="00000000" w:csb0="203F01FF"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6"/>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8TPSHQIAACkEAAAOAAAAZHJz&#10;L2Uyb0RvYy54bWytU82O0zAQviPxDpbvNGlRV1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9eT/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DxM9IdAgAAKQQAAA4AAAAAAAAAAQAgAAAANQEAAGRycy9lMm9Eb2MueG1sUEsF&#10;BgAAAAAGAAYAWQEAAMQFAAAAAA==&#10;">
              <v:fill on="f" focussize="0,0"/>
              <v:stroke on="f" weight="0.5pt"/>
              <v:imagedata o:title=""/>
              <o:lock v:ext="edit" aspectratio="f"/>
              <v:textbox inset="0mm,0mm,0mm,0mm" style="mso-fit-shape-to-text:t;">
                <w:txbxContent>
                  <w:p>
                    <w:pPr>
                      <w:pStyle w:val="6"/>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spacing w:line="240" w:lineRule="auto"/>
      <w:jc w:val="both"/>
    </w:pPr>
  </w:p>
  <w:p>
    <w:pPr>
      <w:pStyle w:val="7"/>
      <w:pBdr>
        <w:bottom w:val="none" w:color="auto" w:sz="0" w:space="1"/>
      </w:pBdr>
      <w:spacing w:line="240" w:lineRule="aut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dotted" w:color="auto" w:sz="4" w:space="1"/>
      </w:pBdr>
      <w:spacing w:line="240" w:lineRule="auto"/>
      <w:jc w:val="right"/>
      <w:rPr>
        <w:rFonts w:hint="eastAsia" w:ascii="仿宋_GB2312" w:hAnsi="仿宋_GB2312" w:eastAsia="仿宋_GB2312" w:cs="仿宋_GB2312"/>
        <w:b w:val="0"/>
        <w:bCs w:val="0"/>
        <w:sz w:val="28"/>
        <w:szCs w:val="28"/>
        <w:lang w:eastAsia="zh-CN"/>
      </w:rPr>
    </w:pPr>
  </w:p>
  <w:p>
    <w:pPr>
      <w:pStyle w:val="7"/>
      <w:pBdr>
        <w:bottom w:val="dotted" w:color="auto" w:sz="4" w:space="1"/>
      </w:pBdr>
      <w:spacing w:line="240" w:lineRule="auto"/>
      <w:jc w:val="righ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eastAsia="zh-CN"/>
      </w:rPr>
      <w:t>科技创新</w:t>
    </w:r>
    <w:r>
      <w:rPr>
        <w:rFonts w:hint="eastAsia" w:ascii="仿宋_GB2312" w:hAnsi="仿宋_GB2312" w:eastAsia="仿宋_GB2312" w:cs="仿宋_GB2312"/>
        <w:b w:val="0"/>
        <w:bCs w:val="0"/>
        <w:sz w:val="28"/>
        <w:szCs w:val="28"/>
        <w:lang w:val="en-US" w:eastAsia="zh-CN"/>
      </w:rPr>
      <w:t xml:space="preserve">  情报先行</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spacing w:line="240" w:lineRule="auto"/>
      <w:jc w:val="both"/>
    </w:pPr>
  </w:p>
  <w:p>
    <w:pPr>
      <w:pStyle w:val="7"/>
      <w:pBdr>
        <w:bottom w:val="dotted" w:color="auto" w:sz="4" w:space="1"/>
      </w:pBdr>
      <w:spacing w:line="240" w:lineRule="auto"/>
      <w:jc w:val="righ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eastAsia="zh-CN"/>
      </w:rPr>
      <w:t>科技创新</w:t>
    </w:r>
    <w:r>
      <w:rPr>
        <w:rFonts w:hint="eastAsia" w:ascii="仿宋_GB2312" w:hAnsi="仿宋_GB2312" w:eastAsia="仿宋_GB2312" w:cs="仿宋_GB2312"/>
        <w:b w:val="0"/>
        <w:bCs w:val="0"/>
        <w:sz w:val="28"/>
        <w:szCs w:val="28"/>
        <w:lang w:val="en-US" w:eastAsia="zh-CN"/>
      </w:rPr>
      <w:t xml:space="preserve">  情报先行</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dotted" w:color="auto" w:sz="4" w:space="1"/>
      </w:pBdr>
      <w:spacing w:line="240" w:lineRule="auto"/>
      <w:jc w:val="right"/>
      <w:rPr>
        <w:rFonts w:hint="eastAsia" w:ascii="仿宋_GB2312" w:hAnsi="仿宋_GB2312" w:eastAsia="仿宋_GB2312" w:cs="仿宋_GB2312"/>
        <w:b w:val="0"/>
        <w:bCs w:val="0"/>
        <w:sz w:val="28"/>
        <w:szCs w:val="28"/>
        <w:lang w:eastAsia="zh-CN"/>
      </w:rPr>
    </w:pPr>
  </w:p>
  <w:p>
    <w:pPr>
      <w:pStyle w:val="7"/>
      <w:pBdr>
        <w:bottom w:val="dotted" w:color="auto" w:sz="4" w:space="1"/>
      </w:pBdr>
      <w:spacing w:line="240" w:lineRule="auto"/>
      <w:jc w:val="righ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eastAsia="zh-CN"/>
      </w:rPr>
      <w:t>科技创新</w:t>
    </w:r>
    <w:r>
      <w:rPr>
        <w:rFonts w:hint="eastAsia" w:ascii="仿宋_GB2312" w:hAnsi="仿宋_GB2312" w:eastAsia="仿宋_GB2312" w:cs="仿宋_GB2312"/>
        <w:b w:val="0"/>
        <w:bCs w:val="0"/>
        <w:sz w:val="28"/>
        <w:szCs w:val="28"/>
        <w:lang w:val="en-US" w:eastAsia="zh-CN"/>
      </w:rPr>
      <w:t xml:space="preserve">  情报先行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3D5F91"/>
    <w:multiLevelType w:val="singleLevel"/>
    <w:tmpl w:val="CC3D5F91"/>
    <w:lvl w:ilvl="0" w:tentative="0">
      <w:start w:val="1"/>
      <w:numFmt w:val="chineseCounting"/>
      <w:suff w:val="nothing"/>
      <w:lvlText w:val="%1、"/>
      <w:lvlJc w:val="left"/>
      <w:rPr>
        <w:rFonts w:hint="eastAsia"/>
      </w:rPr>
    </w:lvl>
  </w:abstractNum>
  <w:abstractNum w:abstractNumId="1">
    <w:nsid w:val="3E878059"/>
    <w:multiLevelType w:val="singleLevel"/>
    <w:tmpl w:val="3E878059"/>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8AE"/>
    <w:rsid w:val="00000CC7"/>
    <w:rsid w:val="00106680"/>
    <w:rsid w:val="001E1674"/>
    <w:rsid w:val="001E48E1"/>
    <w:rsid w:val="00275606"/>
    <w:rsid w:val="00286015"/>
    <w:rsid w:val="00436BEF"/>
    <w:rsid w:val="0071755D"/>
    <w:rsid w:val="0079657C"/>
    <w:rsid w:val="008768E2"/>
    <w:rsid w:val="009378AE"/>
    <w:rsid w:val="00AC7DA8"/>
    <w:rsid w:val="00C45713"/>
    <w:rsid w:val="00DE0085"/>
    <w:rsid w:val="00F365FE"/>
    <w:rsid w:val="00F87DE8"/>
    <w:rsid w:val="0147778C"/>
    <w:rsid w:val="0D27610A"/>
    <w:rsid w:val="0D2D19A9"/>
    <w:rsid w:val="18AE37F5"/>
    <w:rsid w:val="19BD1E0E"/>
    <w:rsid w:val="1AF7AE84"/>
    <w:rsid w:val="1BAF2978"/>
    <w:rsid w:val="1BEE17D1"/>
    <w:rsid w:val="1EE23BBA"/>
    <w:rsid w:val="24F14601"/>
    <w:rsid w:val="25385431"/>
    <w:rsid w:val="264A40C5"/>
    <w:rsid w:val="26AA1AA0"/>
    <w:rsid w:val="295D1496"/>
    <w:rsid w:val="2AC670C5"/>
    <w:rsid w:val="2F1513B0"/>
    <w:rsid w:val="2F3E2506"/>
    <w:rsid w:val="329F0927"/>
    <w:rsid w:val="35E46651"/>
    <w:rsid w:val="37DF61EC"/>
    <w:rsid w:val="39FB00A4"/>
    <w:rsid w:val="3DCFAD99"/>
    <w:rsid w:val="3FD11DF9"/>
    <w:rsid w:val="40313DDE"/>
    <w:rsid w:val="434E11D4"/>
    <w:rsid w:val="44EE3048"/>
    <w:rsid w:val="574768DA"/>
    <w:rsid w:val="58913EFE"/>
    <w:rsid w:val="58D919FC"/>
    <w:rsid w:val="5CFA4828"/>
    <w:rsid w:val="5F633D64"/>
    <w:rsid w:val="5F830B05"/>
    <w:rsid w:val="610A2B60"/>
    <w:rsid w:val="613810A1"/>
    <w:rsid w:val="657F40AF"/>
    <w:rsid w:val="66FD0BA8"/>
    <w:rsid w:val="67F5FA10"/>
    <w:rsid w:val="68091DC3"/>
    <w:rsid w:val="6A6E0A29"/>
    <w:rsid w:val="6B9F24D1"/>
    <w:rsid w:val="6D1F8BE6"/>
    <w:rsid w:val="6FF53ED8"/>
    <w:rsid w:val="74CDD54E"/>
    <w:rsid w:val="74FE44A0"/>
    <w:rsid w:val="77BAB94F"/>
    <w:rsid w:val="77F3B6F1"/>
    <w:rsid w:val="7B7E559E"/>
    <w:rsid w:val="7CDD87A7"/>
    <w:rsid w:val="7DBFFBE2"/>
    <w:rsid w:val="7DDE2E59"/>
    <w:rsid w:val="7EF6306D"/>
    <w:rsid w:val="7F372734"/>
    <w:rsid w:val="7F7F04C2"/>
    <w:rsid w:val="7FD233B4"/>
    <w:rsid w:val="9E7CB026"/>
    <w:rsid w:val="ABB72E57"/>
    <w:rsid w:val="ABEFF34C"/>
    <w:rsid w:val="B7BE32DB"/>
    <w:rsid w:val="BBFDF35D"/>
    <w:rsid w:val="BFEB886A"/>
    <w:rsid w:val="C7FC9BFF"/>
    <w:rsid w:val="DDFFB87E"/>
    <w:rsid w:val="DFF7D902"/>
    <w:rsid w:val="DFFF4048"/>
    <w:rsid w:val="EBB1488E"/>
    <w:rsid w:val="EFFB69AF"/>
    <w:rsid w:val="F189FB14"/>
    <w:rsid w:val="F7CDCD99"/>
    <w:rsid w:val="FACBA45C"/>
    <w:rsid w:val="FBE70AF2"/>
    <w:rsid w:val="FBF67D63"/>
    <w:rsid w:val="FC3755C4"/>
    <w:rsid w:val="FC7BC3C1"/>
    <w:rsid w:val="FFAA4E5E"/>
    <w:rsid w:val="FFAFB3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paragraph" w:styleId="3">
    <w:name w:val="heading 2"/>
    <w:basedOn w:val="1"/>
    <w:next w:val="1"/>
    <w:link w:val="2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1"/>
    <w:qFormat/>
    <w:uiPriority w:val="1"/>
    <w:pPr>
      <w:autoSpaceDE w:val="0"/>
      <w:autoSpaceDN w:val="0"/>
      <w:ind w:firstLine="0" w:firstLineChars="0"/>
      <w:jc w:val="left"/>
    </w:pPr>
    <w:rPr>
      <w:rFonts w:ascii="PMingLiU" w:hAnsi="PMingLiU" w:eastAsia="PMingLiU" w:cs="PMingLiU"/>
      <w:kern w:val="0"/>
      <w:lang w:eastAsia="en-US"/>
    </w:rPr>
  </w:style>
  <w:style w:type="paragraph" w:styleId="5">
    <w:name w:val="Balloon Text"/>
    <w:basedOn w:val="1"/>
    <w:link w:val="20"/>
    <w:semiHidden/>
    <w:unhideWhenUsed/>
    <w:qFormat/>
    <w:uiPriority w:val="99"/>
    <w:rPr>
      <w:sz w:val="18"/>
      <w:szCs w:val="18"/>
    </w:rPr>
  </w:style>
  <w:style w:type="paragraph" w:styleId="6">
    <w:name w:val="footer"/>
    <w:basedOn w:val="1"/>
    <w:link w:val="22"/>
    <w:unhideWhenUsed/>
    <w:qFormat/>
    <w:uiPriority w:val="99"/>
    <w:pPr>
      <w:tabs>
        <w:tab w:val="center" w:pos="4153"/>
        <w:tab w:val="right" w:pos="8306"/>
      </w:tabs>
      <w:snapToGrid w:val="0"/>
      <w:jc w:val="left"/>
    </w:pPr>
    <w:rPr>
      <w:sz w:val="18"/>
      <w:szCs w:val="18"/>
    </w:rPr>
  </w:style>
  <w:style w:type="paragraph" w:styleId="7">
    <w:name w:val="header"/>
    <w:basedOn w:val="1"/>
    <w:link w:val="2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Body Text First Indent"/>
    <w:basedOn w:val="4"/>
    <w:next w:val="1"/>
    <w:unhideWhenUsed/>
    <w:qFormat/>
    <w:uiPriority w:val="99"/>
    <w:pPr>
      <w:ind w:firstLine="420" w:firstLineChars="100"/>
    </w:pPr>
  </w:style>
  <w:style w:type="character" w:styleId="12">
    <w:name w:val="Strong"/>
    <w:basedOn w:val="11"/>
    <w:qFormat/>
    <w:uiPriority w:val="22"/>
    <w:rPr>
      <w:b/>
      <w:bCs/>
    </w:rPr>
  </w:style>
  <w:style w:type="character" w:styleId="13">
    <w:name w:val="FollowedHyperlink"/>
    <w:basedOn w:val="11"/>
    <w:qFormat/>
    <w:uiPriority w:val="0"/>
    <w:rPr>
      <w:color w:val="800080"/>
      <w:u w:val="single"/>
    </w:rPr>
  </w:style>
  <w:style w:type="character" w:styleId="14">
    <w:name w:val="Hyperlink"/>
    <w:basedOn w:val="11"/>
    <w:semiHidden/>
    <w:unhideWhenUsed/>
    <w:qFormat/>
    <w:uiPriority w:val="99"/>
    <w:rPr>
      <w:color w:val="0000FF"/>
      <w:u w:val="single"/>
    </w:rPr>
  </w:style>
  <w:style w:type="paragraph" w:styleId="15">
    <w:name w:val="List Paragraph"/>
    <w:basedOn w:val="1"/>
    <w:qFormat/>
    <w:uiPriority w:val="34"/>
    <w:pPr>
      <w:ind w:firstLine="420" w:firstLineChars="200"/>
    </w:pPr>
  </w:style>
  <w:style w:type="character" w:customStyle="1" w:styleId="16">
    <w:name w:val="标题 1 Char"/>
    <w:basedOn w:val="11"/>
    <w:link w:val="2"/>
    <w:qFormat/>
    <w:uiPriority w:val="9"/>
    <w:rPr>
      <w:rFonts w:ascii="宋体" w:hAnsi="宋体" w:eastAsia="宋体" w:cs="宋体"/>
      <w:b/>
      <w:bCs/>
      <w:kern w:val="36"/>
      <w:sz w:val="48"/>
      <w:szCs w:val="48"/>
    </w:rPr>
  </w:style>
  <w:style w:type="character" w:customStyle="1" w:styleId="17">
    <w:name w:val="tool-icon"/>
    <w:basedOn w:val="11"/>
    <w:qFormat/>
    <w:uiPriority w:val="0"/>
  </w:style>
  <w:style w:type="character" w:customStyle="1" w:styleId="18">
    <w:name w:val="tool-cmt"/>
    <w:basedOn w:val="11"/>
    <w:qFormat/>
    <w:uiPriority w:val="0"/>
  </w:style>
  <w:style w:type="character" w:customStyle="1" w:styleId="19">
    <w:name w:val="num"/>
    <w:basedOn w:val="11"/>
    <w:qFormat/>
    <w:uiPriority w:val="0"/>
  </w:style>
  <w:style w:type="character" w:customStyle="1" w:styleId="20">
    <w:name w:val="批注框文本 Char"/>
    <w:basedOn w:val="11"/>
    <w:link w:val="5"/>
    <w:semiHidden/>
    <w:qFormat/>
    <w:uiPriority w:val="99"/>
    <w:rPr>
      <w:sz w:val="18"/>
      <w:szCs w:val="18"/>
    </w:rPr>
  </w:style>
  <w:style w:type="character" w:customStyle="1" w:styleId="21">
    <w:name w:val="页眉 Char"/>
    <w:basedOn w:val="11"/>
    <w:link w:val="7"/>
    <w:semiHidden/>
    <w:qFormat/>
    <w:uiPriority w:val="99"/>
    <w:rPr>
      <w:sz w:val="18"/>
      <w:szCs w:val="18"/>
    </w:rPr>
  </w:style>
  <w:style w:type="character" w:customStyle="1" w:styleId="22">
    <w:name w:val="页脚 Char"/>
    <w:basedOn w:val="11"/>
    <w:link w:val="6"/>
    <w:qFormat/>
    <w:uiPriority w:val="99"/>
    <w:rPr>
      <w:sz w:val="18"/>
      <w:szCs w:val="18"/>
    </w:rPr>
  </w:style>
  <w:style w:type="character" w:customStyle="1" w:styleId="23">
    <w:name w:val="标题 2 Char"/>
    <w:basedOn w:val="11"/>
    <w:link w:val="3"/>
    <w:qFormat/>
    <w:uiPriority w:val="9"/>
    <w:rPr>
      <w:rFonts w:asciiTheme="majorHAnsi" w:hAnsiTheme="majorHAnsi" w:eastAsiaTheme="majorEastAsia" w:cstheme="majorBidi"/>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10614</Words>
  <Characters>11083</Characters>
  <Lines>111</Lines>
  <Paragraphs>31</Paragraphs>
  <TotalTime>13</TotalTime>
  <ScaleCrop>false</ScaleCrop>
  <LinksUpToDate>false</LinksUpToDate>
  <CharactersWithSpaces>11138</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2025-10-26T20:41:00Z</dcterms:created>
  <dc:creator>Administrator</dc:creator>
  <cp:lastModifiedBy>kylin</cp:lastModifiedBy>
  <cp:lastPrinted>2025-10-28T08:35:00Z</cp:lastPrinted>
  <dcterms:modified xsi:type="dcterms:W3CDTF">2025-11-03T15:48:46Z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eyJoZGlkIjoiZjk3ZGY3M2I4NmM2MzQ5MTZkOThkMzNkYWQ3NWRlODIiLCJ1c2VySWQiOiIyNzc3NTgxMTIifQ==</vt:lpwstr>
  </property>
  <property fmtid="{D5CDD505-2E9C-101B-9397-08002B2CF9AE}" pid="3" name="KSOProductBuildVer">
    <vt:lpwstr>2052-11.8.2.10229</vt:lpwstr>
  </property>
  <property fmtid="{D5CDD505-2E9C-101B-9397-08002B2CF9AE}" pid="4" name="ICV">
    <vt:lpwstr>C0C8FB18CC1E492BB3D753F2331FF920_13</vt:lpwstr>
  </property>
</Properties>
</file>